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4B330" w14:textId="77777777" w:rsidR="00CF2BC4" w:rsidRPr="00CF2BC4" w:rsidRDefault="00CF2BC4" w:rsidP="00005657">
      <w:pPr>
        <w:pStyle w:val="Titre"/>
        <w:rPr>
          <w:sz w:val="44"/>
        </w:rPr>
      </w:pPr>
    </w:p>
    <w:p w14:paraId="62A118EA" w14:textId="171F8295" w:rsidR="00CC09D3" w:rsidRDefault="002366AF" w:rsidP="00005657">
      <w:pPr>
        <w:pStyle w:val="Titre"/>
      </w:pPr>
      <w:r>
        <w:t xml:space="preserve">Labellisation des </w:t>
      </w:r>
      <w:r w:rsidR="00D85F79">
        <w:t xml:space="preserve">centres de référence </w:t>
      </w:r>
      <w:r>
        <w:t>maladies rares 2022</w:t>
      </w:r>
      <w:r w:rsidR="00E056AC">
        <w:t xml:space="preserve"> : </w:t>
      </w:r>
      <w:r w:rsidR="00E056AC" w:rsidRPr="00E056AC">
        <w:rPr>
          <w:sz w:val="44"/>
        </w:rPr>
        <w:t xml:space="preserve">recommandations de la BNDMR pour une implémentation </w:t>
      </w:r>
      <w:r w:rsidR="00A1028C">
        <w:rPr>
          <w:sz w:val="44"/>
        </w:rPr>
        <w:t>facilité</w:t>
      </w:r>
      <w:r w:rsidR="00D3056A">
        <w:rPr>
          <w:sz w:val="44"/>
        </w:rPr>
        <w:t>e</w:t>
      </w:r>
      <w:r w:rsidR="00A1028C">
        <w:rPr>
          <w:sz w:val="44"/>
        </w:rPr>
        <w:t xml:space="preserve"> dans BaMaRa et les DPI</w:t>
      </w:r>
      <w:r w:rsidRPr="00E056AC">
        <w:rPr>
          <w:sz w:val="44"/>
        </w:rPr>
        <w:t xml:space="preserve"> </w:t>
      </w:r>
    </w:p>
    <w:p w14:paraId="27793BBF" w14:textId="2034422C" w:rsidR="0098337D" w:rsidRDefault="00BD6EBB" w:rsidP="00005657">
      <w:r>
        <w:br/>
      </w:r>
      <w:r w:rsidR="000C199B">
        <w:t xml:space="preserve">Date : </w:t>
      </w:r>
      <w:r w:rsidR="004916B2">
        <w:t>20</w:t>
      </w:r>
      <w:r w:rsidR="009C470F">
        <w:t>/12</w:t>
      </w:r>
      <w:r w:rsidR="00005657">
        <w:t>/2021</w:t>
      </w:r>
      <w:r>
        <w:br/>
      </w:r>
      <w:r w:rsidR="000C199B">
        <w:t>Auteurs : Cellule Opérationnelle</w:t>
      </w:r>
      <w:r w:rsidR="00AE515F">
        <w:t xml:space="preserve"> (CO)</w:t>
      </w:r>
      <w:r w:rsidR="000C199B">
        <w:t xml:space="preserve"> BNDMR</w:t>
      </w:r>
      <w:r w:rsidR="00D85F79">
        <w:t xml:space="preserve"> / DGOS</w:t>
      </w:r>
      <w:r>
        <w:br/>
      </w:r>
    </w:p>
    <w:p w14:paraId="39AFAC11" w14:textId="6A65CE3F" w:rsidR="00445BC7" w:rsidRPr="002366AF" w:rsidRDefault="00445BC7" w:rsidP="000C199B">
      <w:pPr>
        <w:pStyle w:val="Titre1"/>
        <w:rPr>
          <w:color w:val="0062AE" w:themeColor="accent6"/>
        </w:rPr>
      </w:pPr>
      <w:r w:rsidRPr="002366AF">
        <w:rPr>
          <w:color w:val="0062AE" w:themeColor="accent6"/>
        </w:rPr>
        <w:t>Introduction</w:t>
      </w:r>
    </w:p>
    <w:p w14:paraId="07BC40AF" w14:textId="48F4E3C1" w:rsidR="00D3056A" w:rsidRDefault="00B266EB" w:rsidP="002D0308">
      <w:pPr>
        <w:jc w:val="both"/>
      </w:pPr>
      <w:r>
        <w:t xml:space="preserve">Un nouvel appel à candidature va être lancé en </w:t>
      </w:r>
      <w:r w:rsidR="00646545">
        <w:t>m</w:t>
      </w:r>
      <w:r>
        <w:t xml:space="preserve">ai 2022 pour la labellisation des </w:t>
      </w:r>
      <w:r w:rsidR="006477B1">
        <w:t xml:space="preserve">centres de référence </w:t>
      </w:r>
      <w:r>
        <w:t xml:space="preserve">maladies rares. </w:t>
      </w:r>
      <w:r w:rsidR="00D3056A" w:rsidRPr="00D3056A">
        <w:t xml:space="preserve">Les changements de labellisation auront des conséquences sur les données déjà saisies qu’il faudrait </w:t>
      </w:r>
      <w:r w:rsidR="004916B2">
        <w:t>potentiellement</w:t>
      </w:r>
      <w:r w:rsidR="00D3056A" w:rsidRPr="00D3056A">
        <w:t xml:space="preserve"> séparer, fusionner, ou déplacer (dans BaMaRa </w:t>
      </w:r>
      <w:r w:rsidR="00D3056A" w:rsidRPr="00D3056A">
        <w:rPr>
          <w:u w:val="single"/>
        </w:rPr>
        <w:t>et dans les DPI</w:t>
      </w:r>
      <w:r w:rsidR="00D3056A">
        <w:t xml:space="preserve"> en mode connecté</w:t>
      </w:r>
      <w:r w:rsidR="00D3056A" w:rsidRPr="00D3056A">
        <w:t>).</w:t>
      </w:r>
    </w:p>
    <w:p w14:paraId="088F0F36" w14:textId="1172E0BF" w:rsidR="00F5689E" w:rsidRDefault="00D3056A" w:rsidP="002D0308">
      <w:pPr>
        <w:jc w:val="both"/>
      </w:pPr>
      <w:r>
        <w:t>La CO BNDMR</w:t>
      </w:r>
      <w:r w:rsidR="009336ED">
        <w:t xml:space="preserve"> est régulièrement sollicitée pour répondre aux questions des filières de santé maladies rares</w:t>
      </w:r>
      <w:r w:rsidR="006477B1">
        <w:t xml:space="preserve"> (FSMR)</w:t>
      </w:r>
      <w:r w:rsidR="009336ED">
        <w:t xml:space="preserve"> relatives à l’organisation de leur réseau et de la labellisation.</w:t>
      </w:r>
      <w:r>
        <w:t xml:space="preserve"> </w:t>
      </w:r>
      <w:r w:rsidR="009336ED">
        <w:t>F</w:t>
      </w:r>
      <w:r>
        <w:t>orte de son e</w:t>
      </w:r>
      <w:r w:rsidR="00646545">
        <w:t>xpérience acquise lors de l’implémentation de la précédente labellisation dans BaMaRa</w:t>
      </w:r>
      <w:r w:rsidR="00E056AC">
        <w:t>, de</w:t>
      </w:r>
      <w:r w:rsidR="009336ED">
        <w:t>s</w:t>
      </w:r>
      <w:r w:rsidR="00E056AC">
        <w:t xml:space="preserve"> nombreux échanges avec le</w:t>
      </w:r>
      <w:r w:rsidR="006477B1">
        <w:t>s FSMR</w:t>
      </w:r>
      <w:r w:rsidR="00646545">
        <w:t xml:space="preserve"> et au travers d</w:t>
      </w:r>
      <w:r w:rsidR="009336ED">
        <w:t>es décisions du</w:t>
      </w:r>
      <w:r w:rsidR="00646545">
        <w:t xml:space="preserve"> Comité de Suivi de la Labellisation</w:t>
      </w:r>
      <w:r w:rsidR="006477B1">
        <w:t xml:space="preserve"> (CSL)</w:t>
      </w:r>
      <w:r w:rsidR="009336ED">
        <w:t>, la CO BNDMR a</w:t>
      </w:r>
      <w:r>
        <w:t xml:space="preserve"> pu </w:t>
      </w:r>
      <w:r w:rsidR="00646545">
        <w:t>identifier les points d’</w:t>
      </w:r>
      <w:r>
        <w:t>attention suivants, qu’elle souhaitait pouvoir partager avec le réseau maladies rares.</w:t>
      </w:r>
    </w:p>
    <w:p w14:paraId="0B217684" w14:textId="31A8F4D1" w:rsidR="0098337D" w:rsidRDefault="0098337D" w:rsidP="0098337D">
      <w:pPr>
        <w:jc w:val="both"/>
      </w:pPr>
    </w:p>
    <w:p w14:paraId="1B5461D9" w14:textId="75C3B9FB" w:rsidR="00646545" w:rsidRPr="00646545" w:rsidRDefault="006B2ABE" w:rsidP="00646545">
      <w:pPr>
        <w:pStyle w:val="Titre1"/>
        <w:rPr>
          <w:color w:val="0062AE" w:themeColor="accent6"/>
        </w:rPr>
      </w:pPr>
      <w:r>
        <w:rPr>
          <w:color w:val="0062AE" w:themeColor="accent6"/>
        </w:rPr>
        <w:t>T</w:t>
      </w:r>
      <w:r w:rsidR="00646545" w:rsidRPr="00646545">
        <w:rPr>
          <w:color w:val="0062AE" w:themeColor="accent6"/>
        </w:rPr>
        <w:t>erminologie</w:t>
      </w:r>
      <w:r>
        <w:rPr>
          <w:color w:val="0062AE" w:themeColor="accent6"/>
        </w:rPr>
        <w:t xml:space="preserve"> utilisée par la CO BNDMR</w:t>
      </w:r>
    </w:p>
    <w:p w14:paraId="33950AC2" w14:textId="39C4B564" w:rsidR="00646545" w:rsidRDefault="00D91817" w:rsidP="0098337D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4C3A5C8E" wp14:editId="54C70009">
            <wp:simplePos x="0" y="0"/>
            <wp:positionH relativeFrom="margin">
              <wp:align>right</wp:align>
            </wp:positionH>
            <wp:positionV relativeFrom="paragraph">
              <wp:posOffset>449580</wp:posOffset>
            </wp:positionV>
            <wp:extent cx="1919017" cy="1985645"/>
            <wp:effectExtent l="0" t="0" r="5080" b="0"/>
            <wp:wrapTight wrapText="bothSides">
              <wp:wrapPolygon edited="0">
                <wp:start x="0" y="0"/>
                <wp:lineTo x="0" y="21344"/>
                <wp:lineTo x="429" y="21344"/>
                <wp:lineTo x="9435" y="21344"/>
                <wp:lineTo x="14152" y="20930"/>
                <wp:lineTo x="13723" y="19894"/>
                <wp:lineTo x="21443" y="19065"/>
                <wp:lineTo x="21443" y="16371"/>
                <wp:lineTo x="20585" y="13263"/>
                <wp:lineTo x="19942" y="9947"/>
                <wp:lineTo x="21228" y="7667"/>
                <wp:lineTo x="21443" y="4973"/>
                <wp:lineTo x="21228" y="4145"/>
                <wp:lineTo x="16725" y="3316"/>
                <wp:lineTo x="16940" y="1243"/>
                <wp:lineTo x="11794" y="207"/>
                <wp:lineTo x="429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017" cy="198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545">
        <w:t>La structuration en base de données force à une rigueur sur les termes employés.</w:t>
      </w:r>
      <w:r w:rsidR="006B2ABE">
        <w:t xml:space="preserve"> </w:t>
      </w:r>
      <w:r w:rsidR="006B2ABE" w:rsidRPr="006B2ABE">
        <w:rPr>
          <w:u w:val="single"/>
        </w:rPr>
        <w:t>Nous n’employons pas exactement les mêmes termes que ceux de la labellisation</w:t>
      </w:r>
      <w:r w:rsidR="006B2ABE">
        <w:t>. Voici la correspondance :</w:t>
      </w:r>
    </w:p>
    <w:p w14:paraId="73319CE7" w14:textId="1FEE0680" w:rsidR="00D167D6" w:rsidRDefault="00646545" w:rsidP="00D167D6">
      <w:pPr>
        <w:jc w:val="both"/>
      </w:pPr>
      <w:r w:rsidRPr="009C3DEA">
        <w:rPr>
          <w:b/>
          <w:color w:val="ED6B6A" w:themeColor="accent3"/>
          <w:u w:val="single"/>
        </w:rPr>
        <w:t>Site MR :</w:t>
      </w:r>
      <w:r w:rsidRPr="009C3DEA">
        <w:rPr>
          <w:color w:val="ED6B6A" w:themeColor="accent3"/>
        </w:rPr>
        <w:t xml:space="preserve"> </w:t>
      </w:r>
      <w:r w:rsidR="00D167D6">
        <w:t xml:space="preserve">Chaque ligne du tableau de la labellisation </w:t>
      </w:r>
      <w:r w:rsidR="006B2ABE">
        <w:t xml:space="preserve">(= 1 point sur la carte) </w:t>
      </w:r>
      <w:r w:rsidR="00D167D6">
        <w:t xml:space="preserve">correspond </w:t>
      </w:r>
      <w:r w:rsidR="006B2ABE">
        <w:t xml:space="preserve">dans la BNDMR </w:t>
      </w:r>
      <w:r w:rsidR="00D167D6">
        <w:t xml:space="preserve">à un Site MR. Celui-ci est défini par les attributs suivants : </w:t>
      </w:r>
    </w:p>
    <w:p w14:paraId="78BACE6D" w14:textId="1E8CFE9F" w:rsidR="009C3DEA" w:rsidRPr="009336ED" w:rsidRDefault="00D167D6" w:rsidP="009C3DEA">
      <w:pPr>
        <w:pStyle w:val="Paragraphedeliste"/>
        <w:numPr>
          <w:ilvl w:val="0"/>
          <w:numId w:val="19"/>
        </w:numPr>
        <w:jc w:val="both"/>
      </w:pPr>
      <w:r w:rsidRPr="009C3DEA">
        <w:t xml:space="preserve">Nom du </w:t>
      </w:r>
      <w:r w:rsidRPr="009336ED">
        <w:t xml:space="preserve">Centre </w:t>
      </w:r>
      <w:r w:rsidR="001B1F99" w:rsidRPr="009336ED">
        <w:t xml:space="preserve">de référence </w:t>
      </w:r>
      <w:r w:rsidRPr="009336ED">
        <w:t xml:space="preserve">MR </w:t>
      </w:r>
    </w:p>
    <w:p w14:paraId="70D43EC5" w14:textId="77777777" w:rsidR="009C3DEA" w:rsidRDefault="00D167D6" w:rsidP="009C3DEA">
      <w:pPr>
        <w:pStyle w:val="Paragraphedeliste"/>
        <w:numPr>
          <w:ilvl w:val="0"/>
          <w:numId w:val="19"/>
        </w:numPr>
        <w:jc w:val="both"/>
      </w:pPr>
      <w:r w:rsidRPr="009C3DEA">
        <w:t xml:space="preserve">Nom du responsable </w:t>
      </w:r>
    </w:p>
    <w:p w14:paraId="738B5B87" w14:textId="18BB00D2" w:rsidR="009C3DEA" w:rsidRDefault="00D167D6" w:rsidP="009C3DEA">
      <w:pPr>
        <w:pStyle w:val="Paragraphedeliste"/>
        <w:numPr>
          <w:ilvl w:val="0"/>
          <w:numId w:val="19"/>
        </w:numPr>
        <w:jc w:val="both"/>
      </w:pPr>
      <w:r w:rsidRPr="009C3DEA">
        <w:t>Nom de l'établissement de santé</w:t>
      </w:r>
      <w:r w:rsidR="00FE3CBB">
        <w:t xml:space="preserve"> (ES)</w:t>
      </w:r>
      <w:r w:rsidRPr="009C3DEA">
        <w:t xml:space="preserve"> (+</w:t>
      </w:r>
      <w:r w:rsidR="00FE3CBB">
        <w:t xml:space="preserve"> </w:t>
      </w:r>
      <w:r w:rsidRPr="009C3DEA">
        <w:t xml:space="preserve">site hospitalier pour l’APHP) </w:t>
      </w:r>
    </w:p>
    <w:p w14:paraId="38A3694B" w14:textId="4BF862C4" w:rsidR="00D167D6" w:rsidRDefault="00D167D6" w:rsidP="009C3DEA">
      <w:pPr>
        <w:pStyle w:val="Paragraphedeliste"/>
        <w:numPr>
          <w:ilvl w:val="0"/>
          <w:numId w:val="19"/>
        </w:numPr>
        <w:jc w:val="both"/>
      </w:pPr>
      <w:r w:rsidRPr="009C3DEA">
        <w:t>Label</w:t>
      </w:r>
      <w:r w:rsidR="0075584E">
        <w:t xml:space="preserve"> (4 différents) :</w:t>
      </w:r>
    </w:p>
    <w:p w14:paraId="69E9EAD0" w14:textId="77777777" w:rsidR="006B2ABE" w:rsidRDefault="006B2ABE" w:rsidP="006B2ABE">
      <w:pPr>
        <w:pStyle w:val="Paragraphedeliste"/>
        <w:numPr>
          <w:ilvl w:val="1"/>
          <w:numId w:val="19"/>
        </w:numPr>
        <w:jc w:val="both"/>
      </w:pPr>
      <w:r>
        <w:t xml:space="preserve">Centre de référence (coordonnateur) </w:t>
      </w:r>
    </w:p>
    <w:p w14:paraId="4DE2260C" w14:textId="77777777" w:rsidR="006B2ABE" w:rsidRDefault="006B2ABE" w:rsidP="006B2ABE">
      <w:pPr>
        <w:pStyle w:val="Paragraphedeliste"/>
        <w:numPr>
          <w:ilvl w:val="1"/>
          <w:numId w:val="19"/>
        </w:numPr>
        <w:jc w:val="both"/>
      </w:pPr>
      <w:r>
        <w:t xml:space="preserve">Centre de référence (constitutif) </w:t>
      </w:r>
    </w:p>
    <w:p w14:paraId="77DA7731" w14:textId="77777777" w:rsidR="006B2ABE" w:rsidRDefault="006B2ABE" w:rsidP="006B2ABE">
      <w:pPr>
        <w:pStyle w:val="Paragraphedeliste"/>
        <w:numPr>
          <w:ilvl w:val="1"/>
          <w:numId w:val="19"/>
        </w:numPr>
        <w:jc w:val="both"/>
      </w:pPr>
      <w:r>
        <w:t xml:space="preserve">Centre de compétence </w:t>
      </w:r>
    </w:p>
    <w:p w14:paraId="2F70C345" w14:textId="36D3A303" w:rsidR="006B2ABE" w:rsidRDefault="006B2ABE" w:rsidP="006B2ABE">
      <w:pPr>
        <w:pStyle w:val="Paragraphedeliste"/>
        <w:numPr>
          <w:ilvl w:val="1"/>
          <w:numId w:val="19"/>
        </w:numPr>
        <w:jc w:val="both"/>
      </w:pPr>
      <w:r>
        <w:t>Centre de ressources et de compétences (CRC)</w:t>
      </w:r>
    </w:p>
    <w:p w14:paraId="6C10B39A" w14:textId="5BFB1B08" w:rsidR="006B2ABE" w:rsidRPr="006B2ABE" w:rsidRDefault="006B2ABE" w:rsidP="006B2ABE">
      <w:pPr>
        <w:rPr>
          <w:i/>
        </w:rPr>
      </w:pPr>
      <w:r w:rsidRPr="006B2ABE">
        <w:t>Ex</w:t>
      </w:r>
      <w:r>
        <w:t>emple</w:t>
      </w:r>
      <w:r w:rsidRPr="006B2ABE">
        <w:t> </w:t>
      </w:r>
      <w:r>
        <w:t xml:space="preserve">de site MR comme indiqué dans BaMaRa </w:t>
      </w:r>
      <w:r w:rsidRPr="006B2ABE">
        <w:t xml:space="preserve">: </w:t>
      </w:r>
      <w:r>
        <w:br/>
      </w:r>
      <w:r w:rsidRPr="006B2ABE">
        <w:rPr>
          <w:i/>
        </w:rPr>
        <w:t>HU NECKER ENFANTS MALADES APHP - 75743 PARIS CEDEX 15 - Epilepsies Rares - [COO] - Rima NABBOUT</w:t>
      </w:r>
    </w:p>
    <w:p w14:paraId="7021698D" w14:textId="4D6B600A" w:rsidR="006B2ABE" w:rsidRDefault="00AE667B" w:rsidP="00D91817">
      <w:pPr>
        <w:jc w:val="both"/>
      </w:pPr>
      <w:r>
        <w:t xml:space="preserve">Dans le langage courant, </w:t>
      </w:r>
      <w:r w:rsidRPr="00343399">
        <w:rPr>
          <w:b/>
        </w:rPr>
        <w:t>l</w:t>
      </w:r>
      <w:r w:rsidR="006B2ABE" w:rsidRPr="00343399">
        <w:rPr>
          <w:b/>
        </w:rPr>
        <w:t xml:space="preserve">es sites MR sont appelés par </w:t>
      </w:r>
      <w:r w:rsidR="00343399" w:rsidRPr="00343399">
        <w:rPr>
          <w:b/>
        </w:rPr>
        <w:t xml:space="preserve">le nom du </w:t>
      </w:r>
      <w:r w:rsidR="00E42337">
        <w:rPr>
          <w:b/>
        </w:rPr>
        <w:t>CRMR</w:t>
      </w:r>
      <w:r w:rsidR="006B2ABE">
        <w:t xml:space="preserve">. Dans l’exemple ci-dessus, on parlera du </w:t>
      </w:r>
      <w:r w:rsidR="005750B6">
        <w:t>« </w:t>
      </w:r>
      <w:r w:rsidR="006B2ABE">
        <w:t>centre de référence des épilepsies rares</w:t>
      </w:r>
      <w:r w:rsidR="005750B6">
        <w:t> »</w:t>
      </w:r>
      <w:r w:rsidR="006B2ABE">
        <w:t xml:space="preserve"> (et non </w:t>
      </w:r>
      <w:r w:rsidR="005750B6">
        <w:t>du « </w:t>
      </w:r>
      <w:r w:rsidR="006B2ABE">
        <w:t>site coordonnateur du centre de référence des épilepsies rares</w:t>
      </w:r>
      <w:r w:rsidR="005750B6">
        <w:t> »</w:t>
      </w:r>
      <w:r w:rsidR="006B2ABE">
        <w:t>).</w:t>
      </w:r>
    </w:p>
    <w:p w14:paraId="092242CB" w14:textId="012CA7CF" w:rsidR="00343399" w:rsidRDefault="00646545" w:rsidP="00D91817">
      <w:pPr>
        <w:jc w:val="both"/>
      </w:pPr>
      <w:r w:rsidRPr="009336ED">
        <w:rPr>
          <w:b/>
          <w:color w:val="40BBB4" w:themeColor="accent2"/>
          <w:u w:val="single"/>
        </w:rPr>
        <w:lastRenderedPageBreak/>
        <w:t xml:space="preserve">Centre </w:t>
      </w:r>
      <w:r w:rsidR="001B1F99" w:rsidRPr="009336ED">
        <w:rPr>
          <w:b/>
          <w:color w:val="40BBB4" w:themeColor="accent2"/>
          <w:u w:val="single"/>
        </w:rPr>
        <w:t>de référence</w:t>
      </w:r>
      <w:r w:rsidR="001B1F99">
        <w:rPr>
          <w:b/>
          <w:color w:val="40BBB4" w:themeColor="accent2"/>
          <w:u w:val="single"/>
        </w:rPr>
        <w:t xml:space="preserve"> </w:t>
      </w:r>
      <w:r w:rsidRPr="009C3DEA">
        <w:rPr>
          <w:b/>
          <w:color w:val="40BBB4" w:themeColor="accent2"/>
          <w:u w:val="single"/>
        </w:rPr>
        <w:t>MR </w:t>
      </w:r>
      <w:r w:rsidR="001B1F99">
        <w:rPr>
          <w:b/>
          <w:color w:val="40BBB4" w:themeColor="accent2"/>
          <w:u w:val="single"/>
        </w:rPr>
        <w:t xml:space="preserve">(CRMR) </w:t>
      </w:r>
      <w:r w:rsidRPr="009C3DEA">
        <w:rPr>
          <w:b/>
          <w:color w:val="40BBB4" w:themeColor="accent2"/>
          <w:u w:val="single"/>
        </w:rPr>
        <w:t>:</w:t>
      </w:r>
      <w:r w:rsidRPr="009C3DEA">
        <w:rPr>
          <w:color w:val="40BBB4" w:themeColor="accent2"/>
        </w:rPr>
        <w:t xml:space="preserve"> </w:t>
      </w:r>
      <w:r w:rsidR="00343399">
        <w:t>Le site coordonnateur d’un centre de référence coordonne les sites constitutifs du centre de référence ainsi que les centres de compétence ou centres de ressources et de compétences. D</w:t>
      </w:r>
      <w:r w:rsidR="006B2ABE">
        <w:t xml:space="preserve">ans la BNDMR, le </w:t>
      </w:r>
      <w:r w:rsidR="00343399">
        <w:t>centre de référence correspond à ce</w:t>
      </w:r>
      <w:r w:rsidR="006B2ABE">
        <w:t xml:space="preserve"> </w:t>
      </w:r>
      <w:r>
        <w:t>réseau de sites</w:t>
      </w:r>
      <w:r w:rsidR="006B2ABE">
        <w:t xml:space="preserve"> MR</w:t>
      </w:r>
      <w:r w:rsidR="00D91817">
        <w:t xml:space="preserve"> (en vert sur la carte)</w:t>
      </w:r>
      <w:r w:rsidR="008E7F3A">
        <w:t>.</w:t>
      </w:r>
      <w:r w:rsidR="008E7F3A" w:rsidRPr="008E7F3A">
        <w:t xml:space="preserve"> </w:t>
      </w:r>
    </w:p>
    <w:p w14:paraId="6684C0B1" w14:textId="3E6F179C" w:rsidR="00646545" w:rsidRDefault="00646545" w:rsidP="0098337D">
      <w:pPr>
        <w:jc w:val="both"/>
      </w:pPr>
      <w:r w:rsidRPr="00D167D6">
        <w:rPr>
          <w:b/>
          <w:u w:val="single"/>
        </w:rPr>
        <w:t>Filières</w:t>
      </w:r>
      <w:r w:rsidR="0075584E">
        <w:rPr>
          <w:b/>
          <w:u w:val="single"/>
        </w:rPr>
        <w:t xml:space="preserve"> de santé</w:t>
      </w:r>
      <w:r w:rsidRPr="00D167D6">
        <w:rPr>
          <w:b/>
          <w:u w:val="single"/>
        </w:rPr>
        <w:t xml:space="preserve"> MR :</w:t>
      </w:r>
      <w:r>
        <w:t xml:space="preserve"> réseau de centres</w:t>
      </w:r>
      <w:r w:rsidR="009F3EF3">
        <w:t xml:space="preserve"> (CRMR, CCMR, CRC)</w:t>
      </w:r>
      <w:r w:rsidR="00FC26F5">
        <w:t>.</w:t>
      </w:r>
    </w:p>
    <w:p w14:paraId="12EE3CD1" w14:textId="2AC43E03" w:rsidR="001B1F99" w:rsidRDefault="00665CAC" w:rsidP="001B1F99">
      <w:pPr>
        <w:pStyle w:val="Titre1"/>
        <w:jc w:val="center"/>
        <w:rPr>
          <w:color w:val="0062AE" w:themeColor="accent6"/>
        </w:rPr>
      </w:pPr>
      <w:r>
        <w:rPr>
          <w:noProof/>
          <w:color w:val="0062AE" w:themeColor="accent6"/>
          <w:lang w:eastAsia="fr-FR"/>
        </w:rPr>
        <w:drawing>
          <wp:inline distT="0" distB="0" distL="0" distR="0" wp14:anchorId="53D8915F" wp14:editId="1347F553">
            <wp:extent cx="5553075" cy="2375218"/>
            <wp:effectExtent l="0" t="0" r="0" b="635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836" cy="2381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774537" w14:textId="34B3CAA5" w:rsidR="00234C02" w:rsidRDefault="00234C02" w:rsidP="00234C02">
      <w:pPr>
        <w:jc w:val="both"/>
      </w:pPr>
    </w:p>
    <w:p w14:paraId="38FF212C" w14:textId="792DD3F8" w:rsidR="00A1028C" w:rsidRPr="008E7F3A" w:rsidRDefault="00A1028C" w:rsidP="00A1028C">
      <w:pPr>
        <w:pStyle w:val="Titre1"/>
        <w:rPr>
          <w:color w:val="0062AE" w:themeColor="accent6"/>
        </w:rPr>
      </w:pPr>
      <w:r w:rsidRPr="008E7F3A">
        <w:rPr>
          <w:color w:val="0062AE" w:themeColor="accent6"/>
        </w:rPr>
        <w:t>Les identifiants </w:t>
      </w:r>
      <w:r w:rsidR="00D3056A">
        <w:rPr>
          <w:color w:val="0062AE" w:themeColor="accent6"/>
        </w:rPr>
        <w:t>et impacts sur la labellisation</w:t>
      </w:r>
    </w:p>
    <w:p w14:paraId="2EA875A5" w14:textId="27CE1DAA" w:rsidR="00A1028C" w:rsidRPr="008E7F3A" w:rsidRDefault="00A1028C" w:rsidP="00A1028C">
      <w:pPr>
        <w:spacing w:before="120"/>
      </w:pPr>
      <w:r w:rsidRPr="00FE3CBB">
        <w:rPr>
          <w:b/>
          <w:u w:val="single"/>
        </w:rPr>
        <w:t>Hôpital</w:t>
      </w:r>
      <w:r>
        <w:t xml:space="preserve"> : </w:t>
      </w:r>
      <w:r w:rsidR="00096C27">
        <w:t xml:space="preserve">nom + </w:t>
      </w:r>
      <w:r w:rsidRPr="008E7F3A">
        <w:t>numéro</w:t>
      </w:r>
      <w:r w:rsidR="00D3056A">
        <w:t>s</w:t>
      </w:r>
      <w:r w:rsidRPr="008E7F3A">
        <w:t xml:space="preserve"> FINESS (juridique + établissement</w:t>
      </w:r>
      <w:r w:rsidR="00FC26F5">
        <w:t xml:space="preserve"> (géographique)</w:t>
      </w:r>
      <w:r w:rsidRPr="008E7F3A">
        <w:t>)</w:t>
      </w:r>
    </w:p>
    <w:p w14:paraId="0FB5FA8F" w14:textId="12A29A38" w:rsidR="00A1028C" w:rsidRPr="008E7F3A" w:rsidRDefault="00A1028C" w:rsidP="00A1028C">
      <w:r w:rsidRPr="00FE3CBB">
        <w:rPr>
          <w:b/>
          <w:u w:val="single"/>
        </w:rPr>
        <w:t>Responsable</w:t>
      </w:r>
      <w:r>
        <w:t> :</w:t>
      </w:r>
      <w:r w:rsidRPr="008E7F3A">
        <w:t xml:space="preserve"> nom + </w:t>
      </w:r>
      <w:r w:rsidRPr="00E42573">
        <w:rPr>
          <w:bCs/>
        </w:rPr>
        <w:t>RPPS</w:t>
      </w:r>
      <w:r w:rsidRPr="008E7F3A">
        <w:rPr>
          <w:b/>
          <w:bCs/>
        </w:rPr>
        <w:t xml:space="preserve"> </w:t>
      </w:r>
    </w:p>
    <w:p w14:paraId="5359FB97" w14:textId="6F8EBBDB" w:rsidR="00A1028C" w:rsidRPr="008E7F3A" w:rsidRDefault="00D91817" w:rsidP="002D0308">
      <w:pPr>
        <w:jc w:val="both"/>
      </w:pPr>
      <w:r w:rsidRPr="00FE3CBB">
        <w:rPr>
          <w:b/>
          <w:u w:val="single"/>
        </w:rPr>
        <w:t>CRMR</w:t>
      </w:r>
      <w:r w:rsidR="00A1028C">
        <w:rPr>
          <w:b/>
        </w:rPr>
        <w:t xml:space="preserve"> : </w:t>
      </w:r>
      <w:r w:rsidR="00A1028C" w:rsidRPr="008E7F3A">
        <w:rPr>
          <w:bCs/>
        </w:rPr>
        <w:t xml:space="preserve">Chaque centre </w:t>
      </w:r>
      <w:r>
        <w:rPr>
          <w:bCs/>
        </w:rPr>
        <w:t xml:space="preserve">de référence (= réseau de sites) </w:t>
      </w:r>
      <w:r w:rsidR="00A1028C" w:rsidRPr="008E7F3A">
        <w:rPr>
          <w:bCs/>
        </w:rPr>
        <w:t>a un identifiant et un nom unique dans la base de données.</w:t>
      </w:r>
      <w:r w:rsidR="00A1028C" w:rsidRPr="00FE3CBB">
        <w:rPr>
          <w:bCs/>
        </w:rPr>
        <w:t xml:space="preserve"> </w:t>
      </w:r>
      <w:r w:rsidR="00FE3CBB">
        <w:t xml:space="preserve">Dans la BNDMR, de par la contrainte de la base de données, </w:t>
      </w:r>
      <w:r w:rsidR="00FE3CBB" w:rsidRPr="00FE3CBB">
        <w:rPr>
          <w:u w:val="single"/>
        </w:rPr>
        <w:t>tous les sites d’un même CRMR doivent porter le même nom que le site coordonnateur du centre de référence.</w:t>
      </w:r>
      <w:r w:rsidR="00FE3CBB" w:rsidRPr="00FE3CBB">
        <w:t xml:space="preserve"> </w:t>
      </w:r>
      <w:r w:rsidR="00A1028C" w:rsidRPr="00FE3CBB">
        <w:rPr>
          <w:bCs/>
        </w:rPr>
        <w:t>Il n’est pas possible</w:t>
      </w:r>
      <w:r w:rsidR="00A1028C" w:rsidRPr="00FE3CBB">
        <w:t xml:space="preserve"> </w:t>
      </w:r>
      <w:r w:rsidR="00A1028C" w:rsidRPr="008E7F3A">
        <w:t xml:space="preserve">de créer des noms de sites différents pour un même </w:t>
      </w:r>
      <w:r w:rsidR="00FE3CBB">
        <w:t>CRMR</w:t>
      </w:r>
      <w:r w:rsidR="00A1028C" w:rsidRPr="008E7F3A">
        <w:t xml:space="preserve"> </w:t>
      </w:r>
      <w:r w:rsidR="00D3056A">
        <w:t>dans BaMaRa.</w:t>
      </w:r>
      <w:r w:rsidR="00FE3CBB">
        <w:t xml:space="preserve"> </w:t>
      </w:r>
    </w:p>
    <w:p w14:paraId="3E15C02C" w14:textId="2F040A88" w:rsidR="00A1028C" w:rsidRDefault="00A1028C" w:rsidP="002D0308">
      <w:pPr>
        <w:jc w:val="both"/>
      </w:pPr>
      <w:r>
        <w:t xml:space="preserve">Ex : le </w:t>
      </w:r>
      <w:r w:rsidR="00FE3CBB">
        <w:t>CRMR</w:t>
      </w:r>
      <w:r>
        <w:t xml:space="preserve"> « anomalies du développement et syndromes malformatif d’Ile-de-France » </w:t>
      </w:r>
      <w:r w:rsidRPr="008E7F3A">
        <w:rPr>
          <w:u w:val="single"/>
        </w:rPr>
        <w:t>ne peut pas</w:t>
      </w:r>
      <w:r>
        <w:t xml:space="preserve"> avoir certains sites </w:t>
      </w:r>
      <w:r w:rsidR="00FE3CBB">
        <w:t xml:space="preserve">MR </w:t>
      </w:r>
      <w:r>
        <w:t>appelés « anomalies du développement des membres ».</w:t>
      </w:r>
    </w:p>
    <w:p w14:paraId="637A3C89" w14:textId="42D11C8D" w:rsidR="00A1028C" w:rsidRDefault="00A1028C" w:rsidP="002D0308">
      <w:pPr>
        <w:jc w:val="both"/>
      </w:pPr>
      <w:r w:rsidRPr="00FE3CBB">
        <w:rPr>
          <w:b/>
          <w:u w:val="single"/>
        </w:rPr>
        <w:t>Sites</w:t>
      </w:r>
      <w:r w:rsidR="00FE3CBB">
        <w:rPr>
          <w:b/>
          <w:u w:val="single"/>
        </w:rPr>
        <w:t xml:space="preserve"> MR</w:t>
      </w:r>
      <w:r>
        <w:rPr>
          <w:b/>
        </w:rPr>
        <w:t xml:space="preserve"> : </w:t>
      </w:r>
      <w:r>
        <w:t xml:space="preserve">Les sites </w:t>
      </w:r>
      <w:r w:rsidR="00FE3CBB">
        <w:t xml:space="preserve">MR </w:t>
      </w:r>
      <w:r>
        <w:t xml:space="preserve">actuellement labellisés ont un identifiant qui est utilisé également par les établissements en mode connecté et pour les liens vers PIRAMIG. Il est important que cet identifiant </w:t>
      </w:r>
      <w:r w:rsidR="00FE3CBB">
        <w:t xml:space="preserve">soit conservé </w:t>
      </w:r>
      <w:r>
        <w:t>lorsque le site est relabellisé à l’identique.</w:t>
      </w:r>
      <w:r w:rsidR="00D3056A">
        <w:t xml:space="preserve"> </w:t>
      </w:r>
    </w:p>
    <w:p w14:paraId="63714AD4" w14:textId="62A7D317" w:rsidR="00A1028C" w:rsidRDefault="00A1028C" w:rsidP="002D0308">
      <w:pPr>
        <w:jc w:val="both"/>
        <w:rPr>
          <w:rStyle w:val="Rfrenceple"/>
        </w:rPr>
      </w:pPr>
      <w:r w:rsidRPr="00D3056A">
        <w:t>Si le site</w:t>
      </w:r>
      <w:r w:rsidR="00FE3CBB">
        <w:t xml:space="preserve"> MR</w:t>
      </w:r>
      <w:r w:rsidRPr="00D3056A">
        <w:t xml:space="preserve"> est modifié (découpage / regroupement) il faudra </w:t>
      </w:r>
      <w:r w:rsidR="00E97B41" w:rsidRPr="00D3056A">
        <w:t xml:space="preserve">le signaler pour que la BNDMR puisse </w:t>
      </w:r>
      <w:r w:rsidRPr="00D3056A">
        <w:t>attribuer de</w:t>
      </w:r>
      <w:r>
        <w:t xml:space="preserve"> nouveaux identifiants.</w:t>
      </w:r>
      <w:r w:rsidR="00E97B41">
        <w:t xml:space="preserve"> Format recommandé : </w:t>
      </w:r>
      <w:r w:rsidR="002D0308">
        <w:rPr>
          <w:rStyle w:val="Rfrenceple"/>
        </w:rPr>
        <w:t>Découpage</w:t>
      </w:r>
      <w:r w:rsidR="00E97B41" w:rsidRPr="00D3056A">
        <w:rPr>
          <w:rStyle w:val="Rfrenceple"/>
        </w:rPr>
        <w:t xml:space="preserve"> du site S1111</w:t>
      </w:r>
      <w:r w:rsidR="00D3056A">
        <w:rPr>
          <w:rStyle w:val="Rfrenceple"/>
        </w:rPr>
        <w:t xml:space="preserve"> </w:t>
      </w:r>
      <w:r w:rsidR="00D3056A" w:rsidRPr="00D3056A">
        <w:t>et</w:t>
      </w:r>
      <w:r w:rsidR="00D3056A">
        <w:rPr>
          <w:rStyle w:val="Rfrenceple"/>
        </w:rPr>
        <w:t xml:space="preserve"> </w:t>
      </w:r>
      <w:r w:rsidR="00E97B41" w:rsidRPr="00D3056A">
        <w:rPr>
          <w:rStyle w:val="Rfrenceple"/>
        </w:rPr>
        <w:t>Regroupement des sites S2222 et S3333</w:t>
      </w:r>
    </w:p>
    <w:p w14:paraId="3AF92539" w14:textId="5F802037" w:rsidR="00E97B41" w:rsidRPr="00D3056A" w:rsidRDefault="00412750" w:rsidP="002D0308">
      <w:pPr>
        <w:jc w:val="both"/>
        <w:rPr>
          <w:smallCaps/>
        </w:rPr>
      </w:pPr>
      <w:r>
        <w:t>S</w:t>
      </w:r>
      <w:r w:rsidR="00E97B41">
        <w:t>i le site</w:t>
      </w:r>
      <w:r>
        <w:t xml:space="preserve"> </w:t>
      </w:r>
      <w:r w:rsidR="00FE3CBB">
        <w:t xml:space="preserve">MR </w:t>
      </w:r>
      <w:r>
        <w:t xml:space="preserve">change d’hôpital par rapport à sa précédente labellisation, </w:t>
      </w:r>
      <w:r w:rsidR="00E97B41">
        <w:t xml:space="preserve">il faudra également le signaler pour que la BNDMR puisse attribuer de nouveaux identifiants. Format recommandé : </w:t>
      </w:r>
      <w:r w:rsidR="00E97B41" w:rsidRPr="00D3056A">
        <w:rPr>
          <w:rStyle w:val="Rfrenceple"/>
        </w:rPr>
        <w:t>Changement ES du site S4444</w:t>
      </w:r>
    </w:p>
    <w:p w14:paraId="34BFC201" w14:textId="77277A2D" w:rsidR="00412750" w:rsidRPr="00E97B41" w:rsidRDefault="00E97B41" w:rsidP="002D0308">
      <w:pPr>
        <w:jc w:val="both"/>
        <w:rPr>
          <w:i/>
          <w:color w:val="0062AE" w:themeColor="accent6"/>
        </w:rPr>
      </w:pPr>
      <w:r w:rsidRPr="00E97B41">
        <w:rPr>
          <w:i/>
          <w:color w:val="0062AE" w:themeColor="accent6"/>
        </w:rPr>
        <w:t>A noter que l</w:t>
      </w:r>
      <w:r w:rsidR="00412750" w:rsidRPr="00E97B41">
        <w:rPr>
          <w:i/>
          <w:color w:val="0062AE" w:themeColor="accent6"/>
        </w:rPr>
        <w:t>a BNDMR ne pourra pas faire de transfert de données sauf si une convention est signée entre les 2</w:t>
      </w:r>
      <w:r w:rsidR="00412750">
        <w:t xml:space="preserve"> </w:t>
      </w:r>
      <w:r w:rsidR="00412750" w:rsidRPr="00E97B41">
        <w:rPr>
          <w:i/>
          <w:color w:val="0062AE" w:themeColor="accent6"/>
        </w:rPr>
        <w:t xml:space="preserve">établissements (le responsable de traitement des données entrées dans BaMaRa est l’établissement de santé labellisé). </w:t>
      </w:r>
    </w:p>
    <w:p w14:paraId="0C5098E9" w14:textId="77FF276C" w:rsidR="00A1028C" w:rsidRPr="00E97B41" w:rsidRDefault="00A1028C" w:rsidP="002D0308">
      <w:pPr>
        <w:jc w:val="both"/>
      </w:pPr>
      <w:r w:rsidRPr="00E97B41">
        <w:t>La BNDMR pourra fournir son tableau de suivi de la labellisation qui contient les identifiants des sites MR.</w:t>
      </w:r>
    </w:p>
    <w:p w14:paraId="629696F1" w14:textId="6EDBDE63" w:rsidR="002D0308" w:rsidRDefault="002D0308" w:rsidP="0098337D">
      <w:pPr>
        <w:jc w:val="both"/>
      </w:pPr>
    </w:p>
    <w:p w14:paraId="03EF5D9A" w14:textId="77777777" w:rsidR="00CB633D" w:rsidRDefault="00CB633D" w:rsidP="0098337D">
      <w:pPr>
        <w:jc w:val="both"/>
      </w:pPr>
    </w:p>
    <w:p w14:paraId="70FDE1AB" w14:textId="319E4062" w:rsidR="00646545" w:rsidRPr="004916B2" w:rsidRDefault="00E056AC" w:rsidP="004916B2">
      <w:pPr>
        <w:pStyle w:val="Titre1"/>
        <w:rPr>
          <w:color w:val="0062AE" w:themeColor="accent6"/>
        </w:rPr>
      </w:pPr>
      <w:r>
        <w:rPr>
          <w:color w:val="0062AE" w:themeColor="accent6"/>
        </w:rPr>
        <w:lastRenderedPageBreak/>
        <w:t>Nos recommandations</w:t>
      </w:r>
    </w:p>
    <w:p w14:paraId="265D01CF" w14:textId="7DDC56B0" w:rsidR="00F5689E" w:rsidRPr="00A1028C" w:rsidRDefault="00D167D6" w:rsidP="00A1028C">
      <w:pPr>
        <w:pStyle w:val="Paragraphedeliste"/>
        <w:numPr>
          <w:ilvl w:val="0"/>
          <w:numId w:val="26"/>
        </w:numPr>
        <w:rPr>
          <w:b/>
        </w:rPr>
      </w:pPr>
      <w:r w:rsidRPr="00A1028C">
        <w:rPr>
          <w:b/>
        </w:rPr>
        <w:t>Labellisation par zone géographique</w:t>
      </w:r>
    </w:p>
    <w:p w14:paraId="5093950D" w14:textId="0A502287" w:rsidR="00306E05" w:rsidRPr="00D167D6" w:rsidRDefault="00D167D6" w:rsidP="002D0308">
      <w:pPr>
        <w:jc w:val="both"/>
      </w:pPr>
      <w:r w:rsidRPr="00D167D6">
        <w:t xml:space="preserve">Eviter qu’un même </w:t>
      </w:r>
      <w:r>
        <w:t>ES</w:t>
      </w:r>
      <w:r w:rsidRPr="00D167D6">
        <w:t xml:space="preserve"> soit labellisé pour </w:t>
      </w:r>
      <w:r>
        <w:t xml:space="preserve">des </w:t>
      </w:r>
      <w:r w:rsidRPr="00D167D6">
        <w:t>zones géographiques différentes, cela créé beaucoup de confusion</w:t>
      </w:r>
      <w:r w:rsidR="0075584E">
        <w:t>.</w:t>
      </w:r>
      <w:r w:rsidR="00D3056A">
        <w:t xml:space="preserve"> </w:t>
      </w:r>
      <w:r w:rsidR="00306E05">
        <w:t xml:space="preserve">Dans l’exemple suivant, il ne faudrait labelliser le CHU de Poitiers que pour l’un des 3 </w:t>
      </w:r>
      <w:r w:rsidR="00FE3CBB">
        <w:t>CRMR</w:t>
      </w:r>
      <w:r w:rsidR="00306E05">
        <w:t xml:space="preserve"> (et non pour les 3 comme actuellement).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6"/>
        <w:gridCol w:w="3662"/>
        <w:gridCol w:w="1487"/>
        <w:gridCol w:w="1056"/>
        <w:gridCol w:w="2825"/>
      </w:tblGrid>
      <w:tr w:rsidR="00D143B6" w:rsidRPr="00E056AC" w14:paraId="377D6585" w14:textId="77777777" w:rsidTr="00306E05">
        <w:trPr>
          <w:trHeight w:val="600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2E97" w14:textId="77777777" w:rsidR="00D143B6" w:rsidRPr="00E056AC" w:rsidRDefault="00D143B6" w:rsidP="00E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56AC">
              <w:rPr>
                <w:rFonts w:ascii="Calibri" w:eastAsia="Times New Roman" w:hAnsi="Calibri" w:cs="Calibri"/>
                <w:color w:val="000000"/>
                <w:lang w:eastAsia="fr-FR"/>
              </w:rPr>
              <w:t>FAIIR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05FC" w14:textId="77777777" w:rsidR="00D143B6" w:rsidRPr="00E056AC" w:rsidRDefault="00D143B6" w:rsidP="00E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56A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Centre de référence des maladies auto-immunes systémiques rares </w:t>
            </w:r>
            <w:r w:rsidRPr="00E056A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d’Ile-de-France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780E" w14:textId="77777777" w:rsidR="00D143B6" w:rsidRPr="00E056AC" w:rsidRDefault="00D143B6" w:rsidP="00E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56AC">
              <w:rPr>
                <w:rFonts w:ascii="Calibri" w:eastAsia="Times New Roman" w:hAnsi="Calibri" w:cs="Calibri"/>
                <w:color w:val="000000"/>
                <w:lang w:eastAsia="fr-FR"/>
              </w:rPr>
              <w:t>compétence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6CF4" w14:textId="77777777" w:rsidR="00D143B6" w:rsidRPr="00E056AC" w:rsidRDefault="00D143B6" w:rsidP="00E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56AC">
              <w:rPr>
                <w:rFonts w:ascii="Calibri" w:eastAsia="Times New Roman" w:hAnsi="Calibri" w:cs="Calibri"/>
                <w:color w:val="000000"/>
                <w:lang w:eastAsia="fr-FR"/>
              </w:rPr>
              <w:t>Pascal ROBLOT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88DE" w14:textId="77777777" w:rsidR="00D143B6" w:rsidRPr="00E056AC" w:rsidRDefault="00D143B6" w:rsidP="00E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56AC">
              <w:rPr>
                <w:rFonts w:ascii="Calibri" w:eastAsia="Times New Roman" w:hAnsi="Calibri" w:cs="Calibri"/>
                <w:color w:val="000000"/>
                <w:lang w:eastAsia="fr-FR"/>
              </w:rPr>
              <w:t>CTRE HOSP. UNIVERSITAIRE DE POITIERS</w:t>
            </w:r>
          </w:p>
        </w:tc>
      </w:tr>
      <w:tr w:rsidR="00D143B6" w:rsidRPr="00E056AC" w14:paraId="423FD9FE" w14:textId="77777777" w:rsidTr="00306E05">
        <w:trPr>
          <w:trHeight w:val="600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73FC" w14:textId="77777777" w:rsidR="00D143B6" w:rsidRPr="00E056AC" w:rsidRDefault="00D143B6" w:rsidP="00E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56AC">
              <w:rPr>
                <w:rFonts w:ascii="Calibri" w:eastAsia="Times New Roman" w:hAnsi="Calibri" w:cs="Calibri"/>
                <w:color w:val="000000"/>
                <w:lang w:eastAsia="fr-FR"/>
              </w:rPr>
              <w:t>FAIIR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6E20" w14:textId="77777777" w:rsidR="00D143B6" w:rsidRPr="00E056AC" w:rsidRDefault="00D143B6" w:rsidP="00E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56A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Centre de référence des maladies auto-immunes systémiques rares de </w:t>
            </w:r>
            <w:r w:rsidRPr="00E056A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l’Est &amp; Sud Ouest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AAD4" w14:textId="77777777" w:rsidR="00D143B6" w:rsidRPr="00E056AC" w:rsidRDefault="00D143B6" w:rsidP="00E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56AC">
              <w:rPr>
                <w:rFonts w:ascii="Calibri" w:eastAsia="Times New Roman" w:hAnsi="Calibri" w:cs="Calibri"/>
                <w:color w:val="000000"/>
                <w:lang w:eastAsia="fr-FR"/>
              </w:rPr>
              <w:t>compétence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3B64" w14:textId="77777777" w:rsidR="00D143B6" w:rsidRPr="00E056AC" w:rsidRDefault="00D143B6" w:rsidP="00E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56AC">
              <w:rPr>
                <w:rFonts w:ascii="Calibri" w:eastAsia="Times New Roman" w:hAnsi="Calibri" w:cs="Calibri"/>
                <w:color w:val="000000"/>
                <w:lang w:eastAsia="fr-FR"/>
              </w:rPr>
              <w:t>Pascal ROBLOT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927E" w14:textId="77777777" w:rsidR="00D143B6" w:rsidRPr="00E056AC" w:rsidRDefault="00D143B6" w:rsidP="00E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56AC">
              <w:rPr>
                <w:rFonts w:ascii="Calibri" w:eastAsia="Times New Roman" w:hAnsi="Calibri" w:cs="Calibri"/>
                <w:color w:val="000000"/>
                <w:lang w:eastAsia="fr-FR"/>
              </w:rPr>
              <w:t>CTRE HOSP. UNIVERSITAIRE DE POITIERS</w:t>
            </w:r>
          </w:p>
        </w:tc>
      </w:tr>
      <w:tr w:rsidR="00D143B6" w:rsidRPr="00E056AC" w14:paraId="002BAD2D" w14:textId="77777777" w:rsidTr="00306E05">
        <w:trPr>
          <w:trHeight w:val="600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C688" w14:textId="77777777" w:rsidR="00D143B6" w:rsidRPr="00E056AC" w:rsidRDefault="00D143B6" w:rsidP="00E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56AC">
              <w:rPr>
                <w:rFonts w:ascii="Calibri" w:eastAsia="Times New Roman" w:hAnsi="Calibri" w:cs="Calibri"/>
                <w:color w:val="000000"/>
                <w:lang w:eastAsia="fr-FR"/>
              </w:rPr>
              <w:t>FAIIR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2068" w14:textId="77777777" w:rsidR="00D143B6" w:rsidRPr="00E056AC" w:rsidRDefault="00D143B6" w:rsidP="00E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56A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Centre de référence des maladies auto-immunes systémiques rares du </w:t>
            </w:r>
            <w:r w:rsidRPr="00E056A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Nord et Nord-Ouest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F6D2" w14:textId="77777777" w:rsidR="00D143B6" w:rsidRPr="00E056AC" w:rsidRDefault="00D143B6" w:rsidP="00E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56AC">
              <w:rPr>
                <w:rFonts w:ascii="Calibri" w:eastAsia="Times New Roman" w:hAnsi="Calibri" w:cs="Calibri"/>
                <w:color w:val="000000"/>
                <w:lang w:eastAsia="fr-FR"/>
              </w:rPr>
              <w:t>compétence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A33E" w14:textId="77777777" w:rsidR="00D143B6" w:rsidRPr="00E056AC" w:rsidRDefault="00D143B6" w:rsidP="00E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56AC">
              <w:rPr>
                <w:rFonts w:ascii="Calibri" w:eastAsia="Times New Roman" w:hAnsi="Calibri" w:cs="Calibri"/>
                <w:color w:val="000000"/>
                <w:lang w:eastAsia="fr-FR"/>
              </w:rPr>
              <w:t>Pascal ROBLOT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915F" w14:textId="77777777" w:rsidR="00D143B6" w:rsidRPr="00E056AC" w:rsidRDefault="00D143B6" w:rsidP="00E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56AC">
              <w:rPr>
                <w:rFonts w:ascii="Calibri" w:eastAsia="Times New Roman" w:hAnsi="Calibri" w:cs="Calibri"/>
                <w:color w:val="000000"/>
                <w:lang w:eastAsia="fr-FR"/>
              </w:rPr>
              <w:t>CTRE HOSP. UNIVERSITAIRE DE POITIERS</w:t>
            </w:r>
          </w:p>
        </w:tc>
      </w:tr>
    </w:tbl>
    <w:p w14:paraId="28F0D129" w14:textId="154330F2" w:rsidR="00E056AC" w:rsidRDefault="00E056AC"/>
    <w:p w14:paraId="4BBF9C16" w14:textId="7941AC77" w:rsidR="00D167D6" w:rsidRPr="00A1028C" w:rsidRDefault="001C1843" w:rsidP="00A1028C">
      <w:pPr>
        <w:pStyle w:val="Paragraphedeliste"/>
        <w:numPr>
          <w:ilvl w:val="0"/>
          <w:numId w:val="26"/>
        </w:numPr>
        <w:rPr>
          <w:b/>
        </w:rPr>
      </w:pPr>
      <w:r w:rsidRPr="00A1028C">
        <w:rPr>
          <w:b/>
        </w:rPr>
        <w:t>Adulte / pédiatrie</w:t>
      </w:r>
    </w:p>
    <w:p w14:paraId="696A7E5A" w14:textId="0F3F7309" w:rsidR="008F75BA" w:rsidRDefault="001C1843" w:rsidP="002D0308">
      <w:pPr>
        <w:jc w:val="both"/>
      </w:pPr>
      <w:r>
        <w:t xml:space="preserve">Lors de la labellisation de 2022, </w:t>
      </w:r>
      <w:r w:rsidR="00D143B6">
        <w:t xml:space="preserve">il </w:t>
      </w:r>
      <w:r w:rsidR="008F75BA">
        <w:t>a été d</w:t>
      </w:r>
      <w:r w:rsidR="004E65E2">
        <w:t>é</w:t>
      </w:r>
      <w:r w:rsidR="008F75BA">
        <w:t>cidé par le comité de suivi de la labellisation de ne pas reconnaitre de distinction entre l’expertise de pédiatrie et adulte d’un même établissement hospitalier.</w:t>
      </w:r>
    </w:p>
    <w:p w14:paraId="417116AC" w14:textId="1166DC3D" w:rsidR="004A77DD" w:rsidRPr="00A1028C" w:rsidRDefault="004A77DD" w:rsidP="00A1028C">
      <w:pPr>
        <w:pStyle w:val="Paragraphedeliste"/>
        <w:numPr>
          <w:ilvl w:val="0"/>
          <w:numId w:val="26"/>
        </w:numPr>
        <w:rPr>
          <w:b/>
        </w:rPr>
      </w:pPr>
      <w:r w:rsidRPr="00A1028C">
        <w:rPr>
          <w:b/>
        </w:rPr>
        <w:t>Regroupements territoriaux</w:t>
      </w:r>
    </w:p>
    <w:p w14:paraId="04647D33" w14:textId="75A569B1" w:rsidR="001B476D" w:rsidRDefault="001B476D" w:rsidP="002D0308">
      <w:pPr>
        <w:jc w:val="both"/>
      </w:pPr>
      <w:r>
        <w:t xml:space="preserve">Dans un objectif d’équité, </w:t>
      </w:r>
      <w:r w:rsidR="004A77DD" w:rsidRPr="00FE3CBB">
        <w:rPr>
          <w:u w:val="single"/>
        </w:rPr>
        <w:t>les files actives de 2 établissements juridiques distincts</w:t>
      </w:r>
      <w:r w:rsidR="00360ED6">
        <w:rPr>
          <w:u w:val="single"/>
        </w:rPr>
        <w:t xml:space="preserve"> ne peuvent être regroupées</w:t>
      </w:r>
      <w:r w:rsidR="00FE3CBB">
        <w:rPr>
          <w:u w:val="single"/>
        </w:rPr>
        <w:t>, même au sein d’un même GHT</w:t>
      </w:r>
      <w:r w:rsidR="004A77DD">
        <w:t xml:space="preserve">. </w:t>
      </w:r>
      <w:r>
        <w:t>Cette règle était déjà en place lors de</w:t>
      </w:r>
      <w:r w:rsidR="00360ED6">
        <w:t xml:space="preserve"> la </w:t>
      </w:r>
      <w:r>
        <w:t xml:space="preserve">précédente labellisation. </w:t>
      </w:r>
      <w:r w:rsidR="00360ED6">
        <w:t xml:space="preserve"> Or </w:t>
      </w:r>
      <w:r>
        <w:t>sur le terrain, plusieurs établissements le font (</w:t>
      </w:r>
      <w:r w:rsidRPr="002D0308">
        <w:rPr>
          <w:i/>
        </w:rPr>
        <w:t>liste des sites identifiés disponible auprès de la BNDMR</w:t>
      </w:r>
      <w:r>
        <w:t xml:space="preserve">). Cela pose d’importants problèmes </w:t>
      </w:r>
      <w:r w:rsidRPr="00FE3CBB">
        <w:rPr>
          <w:u w:val="single"/>
        </w:rPr>
        <w:t>réglementaires</w:t>
      </w:r>
      <w:r>
        <w:t xml:space="preserve"> et de </w:t>
      </w:r>
      <w:r w:rsidRPr="00FE3CBB">
        <w:rPr>
          <w:u w:val="single"/>
        </w:rPr>
        <w:t>sécurité</w:t>
      </w:r>
      <w:r>
        <w:t xml:space="preserve"> des données. </w:t>
      </w:r>
    </w:p>
    <w:p w14:paraId="45F5EB62" w14:textId="1D3CE9E2" w:rsidR="001B476D" w:rsidRDefault="004A77DD" w:rsidP="002D0308">
      <w:pPr>
        <w:jc w:val="both"/>
      </w:pPr>
      <w:r>
        <w:t xml:space="preserve">Pour les sites MR qui avaient été labellisés en 2017 en regroupant ces files </w:t>
      </w:r>
      <w:r w:rsidR="003E016A">
        <w:t xml:space="preserve">actives, </w:t>
      </w:r>
      <w:r w:rsidR="001B476D">
        <w:t xml:space="preserve">nous recommandons que chaque établissement demande </w:t>
      </w:r>
      <w:r w:rsidR="003E016A">
        <w:t>indépendamment sa labellisation, et le label dépendra de la file active propre à l’établissement juridique. Et ce, même en cas de conve</w:t>
      </w:r>
      <w:r w:rsidR="001B476D">
        <w:t>ntions existante entre les 2 ES.</w:t>
      </w:r>
    </w:p>
    <w:p w14:paraId="7B0D2B39" w14:textId="7FDAA2D4" w:rsidR="009C5A3A" w:rsidRDefault="001B476D" w:rsidP="002D0308">
      <w:pPr>
        <w:jc w:val="both"/>
      </w:pPr>
      <w:r>
        <w:t xml:space="preserve">Cas de l’APHP : </w:t>
      </w:r>
      <w:r w:rsidR="009C5A3A" w:rsidRPr="009C5A3A">
        <w:t xml:space="preserve">chaque établissement </w:t>
      </w:r>
      <w:r w:rsidR="00360ED6">
        <w:t xml:space="preserve">avec un FINESS </w:t>
      </w:r>
      <w:r>
        <w:t xml:space="preserve">géographique (Necker, HEGP…) est labellisé individuellement. </w:t>
      </w:r>
    </w:p>
    <w:p w14:paraId="43403380" w14:textId="73E1541A" w:rsidR="009C5A3A" w:rsidRDefault="001B476D" w:rsidP="004916B2">
      <w:pPr>
        <w:jc w:val="both"/>
        <w:rPr>
          <w:i/>
        </w:rPr>
      </w:pPr>
      <w:r w:rsidRPr="00D3056A">
        <w:rPr>
          <w:i/>
        </w:rPr>
        <w:t>A noter qu</w:t>
      </w:r>
      <w:r w:rsidR="00DB5854">
        <w:rPr>
          <w:i/>
        </w:rPr>
        <w:t xml:space="preserve">’actuellement </w:t>
      </w:r>
      <w:r w:rsidRPr="00D3056A">
        <w:rPr>
          <w:i/>
        </w:rPr>
        <w:t xml:space="preserve">dans BaMaRa, les données de l’APHP ne sont pas mises en commun mais bien séparées entre chaque établissement </w:t>
      </w:r>
      <w:r w:rsidR="002D6D98">
        <w:rPr>
          <w:i/>
        </w:rPr>
        <w:t xml:space="preserve">ayant un FINESS </w:t>
      </w:r>
      <w:r w:rsidRPr="00D3056A">
        <w:rPr>
          <w:i/>
        </w:rPr>
        <w:t>géographique</w:t>
      </w:r>
      <w:r w:rsidR="002D6D98">
        <w:rPr>
          <w:i/>
        </w:rPr>
        <w:t xml:space="preserve"> propre</w:t>
      </w:r>
      <w:r w:rsidRPr="00D3056A">
        <w:rPr>
          <w:i/>
        </w:rPr>
        <w:t xml:space="preserve">. </w:t>
      </w:r>
    </w:p>
    <w:p w14:paraId="6713578B" w14:textId="20E2B890" w:rsidR="0073229F" w:rsidRPr="00A1028C" w:rsidRDefault="004916B2" w:rsidP="00A1028C">
      <w:pPr>
        <w:pStyle w:val="Paragraphedeliste"/>
        <w:numPr>
          <w:ilvl w:val="0"/>
          <w:numId w:val="26"/>
        </w:numPr>
        <w:rPr>
          <w:b/>
        </w:rPr>
      </w:pPr>
      <w:r>
        <w:rPr>
          <w:b/>
        </w:rPr>
        <w:t>Laboratoires</w:t>
      </w:r>
    </w:p>
    <w:p w14:paraId="363F52C1" w14:textId="7FD696AB" w:rsidR="0090468A" w:rsidRDefault="0090468A" w:rsidP="002D0308">
      <w:pPr>
        <w:jc w:val="both"/>
      </w:pPr>
      <w:r>
        <w:t xml:space="preserve">Comme lors de la précédente labellisation, il faudra bien distinguer </w:t>
      </w:r>
      <w:r w:rsidR="009C5A3A" w:rsidRPr="009C5A3A">
        <w:t>l’activité de laboratoire et de soin</w:t>
      </w:r>
      <w:r w:rsidR="002D0308">
        <w:t> ;</w:t>
      </w:r>
      <w:r w:rsidR="009C5A3A" w:rsidRPr="009C5A3A">
        <w:t xml:space="preserve"> </w:t>
      </w:r>
      <w:r w:rsidR="002D0308">
        <w:t xml:space="preserve">de notre compréhension, </w:t>
      </w:r>
      <w:r w:rsidR="009C5A3A" w:rsidRPr="009C5A3A">
        <w:t>la labellisation des sites MR ne concerne pas les laboratoires de diagnostic</w:t>
      </w:r>
      <w:r w:rsidR="002D0308">
        <w:t xml:space="preserve"> qui ont leurs propres financements et labellisation (dont LBMR)</w:t>
      </w:r>
      <w:r>
        <w:t>.</w:t>
      </w:r>
      <w:r w:rsidRPr="0090468A">
        <w:t xml:space="preserve"> </w:t>
      </w:r>
      <w:r>
        <w:t xml:space="preserve">De plus, la file active d’un </w:t>
      </w:r>
      <w:r w:rsidR="00F539C8">
        <w:t>site MR</w:t>
      </w:r>
      <w:r>
        <w:t xml:space="preserve"> ne doit reposer que sur l’activité </w:t>
      </w:r>
      <w:r w:rsidR="00332033">
        <w:t>clinique</w:t>
      </w:r>
      <w:r>
        <w:t>.</w:t>
      </w:r>
    </w:p>
    <w:p w14:paraId="329B4534" w14:textId="14E8B51C" w:rsidR="009C5A3A" w:rsidRPr="00A1028C" w:rsidRDefault="009C5A3A" w:rsidP="00A1028C">
      <w:pPr>
        <w:pStyle w:val="Paragraphedeliste"/>
        <w:numPr>
          <w:ilvl w:val="0"/>
          <w:numId w:val="26"/>
        </w:numPr>
        <w:rPr>
          <w:b/>
        </w:rPr>
      </w:pPr>
      <w:r w:rsidRPr="00A1028C">
        <w:rPr>
          <w:b/>
        </w:rPr>
        <w:t>Maladies non rares</w:t>
      </w:r>
    </w:p>
    <w:p w14:paraId="05DFE129" w14:textId="6E3E44B7" w:rsidR="008E7F3A" w:rsidRDefault="009C5A3A" w:rsidP="004916B2">
      <w:pPr>
        <w:jc w:val="both"/>
      </w:pPr>
      <w:r>
        <w:t xml:space="preserve">Les maladies dont le seuil de prévalence est inférieur à 1/2000 en population générale ne </w:t>
      </w:r>
      <w:r w:rsidR="00332033">
        <w:t xml:space="preserve">doivent pas </w:t>
      </w:r>
      <w:r w:rsidR="0090468A">
        <w:t xml:space="preserve">être </w:t>
      </w:r>
      <w:r w:rsidR="00332033">
        <w:t>retenues</w:t>
      </w:r>
      <w:r w:rsidR="0090468A">
        <w:t xml:space="preserve"> dans la liste des maladies pour lesquelles un centre est </w:t>
      </w:r>
      <w:r>
        <w:t>labellisé. Les centres actuellement labellisés pour des maladies non rares dans Orphanet devront prouver le caractère rare à l’aide de publications scientifiques récente permettant la révision du code ORPHA.</w:t>
      </w:r>
    </w:p>
    <w:p w14:paraId="11B2E953" w14:textId="4890487D" w:rsidR="009C5A3A" w:rsidRPr="00D3056A" w:rsidRDefault="0090468A" w:rsidP="004916B2">
      <w:pPr>
        <w:jc w:val="both"/>
        <w:rPr>
          <w:i/>
        </w:rPr>
      </w:pPr>
      <w:r w:rsidRPr="00D3056A">
        <w:rPr>
          <w:i/>
        </w:rPr>
        <w:t xml:space="preserve">Un travail de </w:t>
      </w:r>
      <w:r w:rsidR="004916B2">
        <w:rPr>
          <w:i/>
        </w:rPr>
        <w:t>qualification</w:t>
      </w:r>
      <w:r w:rsidRPr="00D3056A">
        <w:rPr>
          <w:i/>
        </w:rPr>
        <w:t xml:space="preserve"> des données pourrait être envisagé dans la BNDMR pour caractériser l’étendue de la saisie qui ne concerne pas une maladie rare.</w:t>
      </w:r>
    </w:p>
    <w:p w14:paraId="643D7334" w14:textId="77777777" w:rsidR="00C644AA" w:rsidRDefault="00C644AA">
      <w:pPr>
        <w:rPr>
          <w:b/>
        </w:rPr>
      </w:pPr>
    </w:p>
    <w:p w14:paraId="689C6FE2" w14:textId="58B352C5" w:rsidR="0073229F" w:rsidRDefault="009C3DEA" w:rsidP="0075584E">
      <w:pPr>
        <w:pStyle w:val="Titre1"/>
        <w:rPr>
          <w:color w:val="0062AE" w:themeColor="accent6"/>
        </w:rPr>
      </w:pPr>
      <w:r w:rsidRPr="0075584E">
        <w:rPr>
          <w:color w:val="0062AE" w:themeColor="accent6"/>
        </w:rPr>
        <w:lastRenderedPageBreak/>
        <w:t>Questions / réponses</w:t>
      </w:r>
    </w:p>
    <w:p w14:paraId="727B4188" w14:textId="77777777" w:rsidR="00FF26D6" w:rsidRPr="00FF26D6" w:rsidRDefault="00FF26D6" w:rsidP="00FF26D6">
      <w:bookmarkStart w:id="0" w:name="_GoBack"/>
      <w:bookmarkEnd w:id="0"/>
    </w:p>
    <w:p w14:paraId="3E9FCD3F" w14:textId="213451BB" w:rsidR="000C6416" w:rsidRPr="009C3DEA" w:rsidRDefault="007415FA" w:rsidP="00FC60D0">
      <w:pPr>
        <w:pStyle w:val="Paragraphedeliste"/>
        <w:numPr>
          <w:ilvl w:val="0"/>
          <w:numId w:val="25"/>
        </w:numPr>
      </w:pPr>
      <w:r w:rsidRPr="009C3DEA">
        <w:t xml:space="preserve">Un même médecin référent pour 2 </w:t>
      </w:r>
      <w:r w:rsidR="0016041A">
        <w:t xml:space="preserve">CRMR </w:t>
      </w:r>
      <w:r w:rsidRPr="009C3DEA">
        <w:t xml:space="preserve">différents dans un même hôpital ? </w:t>
      </w:r>
      <w:r w:rsidRPr="00FC60D0">
        <w:rPr>
          <w:b/>
          <w:bCs/>
        </w:rPr>
        <w:t>OUI </w:t>
      </w:r>
      <w:r w:rsidR="0007698E">
        <w:rPr>
          <w:b/>
          <w:bCs/>
        </w:rPr>
        <w:t>mais pas deux coordinations au sein d’une même FSMR</w:t>
      </w:r>
    </w:p>
    <w:p w14:paraId="1391C707" w14:textId="37C3FED2" w:rsidR="000C6416" w:rsidRPr="0090468A" w:rsidRDefault="007415FA" w:rsidP="00FC60D0">
      <w:pPr>
        <w:pStyle w:val="Paragraphedeliste"/>
        <w:numPr>
          <w:ilvl w:val="0"/>
          <w:numId w:val="25"/>
        </w:numPr>
      </w:pPr>
      <w:r w:rsidRPr="009C3DEA">
        <w:t xml:space="preserve">2 sites </w:t>
      </w:r>
      <w:r w:rsidR="0090468A">
        <w:t xml:space="preserve">du même </w:t>
      </w:r>
      <w:r w:rsidR="0016041A">
        <w:t>CRMR</w:t>
      </w:r>
      <w:r w:rsidR="00A735CA">
        <w:t xml:space="preserve">, </w:t>
      </w:r>
      <w:r w:rsidRPr="009C3DEA">
        <w:t xml:space="preserve">dans un même hôpital </w:t>
      </w:r>
      <w:r w:rsidR="0090468A">
        <w:t xml:space="preserve">(ex : 2 </w:t>
      </w:r>
      <w:r w:rsidR="0016041A">
        <w:t xml:space="preserve">CRMR </w:t>
      </w:r>
      <w:r w:rsidR="0090468A">
        <w:t xml:space="preserve">constitutifs) </w:t>
      </w:r>
      <w:r w:rsidRPr="009C3DEA">
        <w:t xml:space="preserve">? </w:t>
      </w:r>
      <w:r w:rsidRPr="00FC60D0">
        <w:rPr>
          <w:b/>
          <w:bCs/>
        </w:rPr>
        <w:t>NON </w:t>
      </w:r>
    </w:p>
    <w:p w14:paraId="345B2728" w14:textId="39EC690C" w:rsidR="000C6416" w:rsidRPr="0090468A" w:rsidRDefault="007415FA" w:rsidP="00FC60D0">
      <w:pPr>
        <w:pStyle w:val="Paragraphedeliste"/>
        <w:numPr>
          <w:ilvl w:val="0"/>
          <w:numId w:val="25"/>
        </w:numPr>
      </w:pPr>
      <w:r w:rsidRPr="009C3DEA">
        <w:t>2 sites d’un même</w:t>
      </w:r>
      <w:r w:rsidR="00350A34">
        <w:t xml:space="preserve"> CRMR</w:t>
      </w:r>
      <w:r w:rsidRPr="009C3DEA">
        <w:t xml:space="preserve"> dans un même GH</w:t>
      </w:r>
      <w:r w:rsidR="0090468A">
        <w:t>U</w:t>
      </w:r>
      <w:r w:rsidRPr="009C3DEA">
        <w:t xml:space="preserve"> de l’APHP (mais dans des hôpitaux différents</w:t>
      </w:r>
      <w:r w:rsidR="0007698E">
        <w:t>, ex. enfants et adultes</w:t>
      </w:r>
      <w:r w:rsidRPr="009C3DEA">
        <w:t xml:space="preserve">) </w:t>
      </w:r>
      <w:r w:rsidRPr="00FC60D0">
        <w:rPr>
          <w:b/>
          <w:bCs/>
        </w:rPr>
        <w:t>OUI </w:t>
      </w:r>
    </w:p>
    <w:p w14:paraId="000FF25E" w14:textId="6627353E" w:rsidR="009C3DEA" w:rsidRPr="009C3DEA" w:rsidRDefault="0090468A" w:rsidP="00FC60D0">
      <w:pPr>
        <w:pStyle w:val="Paragraphedeliste"/>
        <w:numPr>
          <w:ilvl w:val="0"/>
          <w:numId w:val="25"/>
        </w:numPr>
      </w:pPr>
      <w:r w:rsidRPr="00FC60D0">
        <w:rPr>
          <w:bCs/>
        </w:rPr>
        <w:t xml:space="preserve">1 site commun </w:t>
      </w:r>
      <w:r w:rsidR="00350A34">
        <w:rPr>
          <w:bCs/>
        </w:rPr>
        <w:t xml:space="preserve">pour un CRMR </w:t>
      </w:r>
      <w:r w:rsidR="00D85F79">
        <w:rPr>
          <w:bCs/>
        </w:rPr>
        <w:t>dans</w:t>
      </w:r>
      <w:r w:rsidR="00D85F79" w:rsidRPr="00FC60D0">
        <w:rPr>
          <w:bCs/>
        </w:rPr>
        <w:t xml:space="preserve"> </w:t>
      </w:r>
      <w:r w:rsidRPr="00FC60D0">
        <w:rPr>
          <w:bCs/>
        </w:rPr>
        <w:t>2</w:t>
      </w:r>
      <w:r w:rsidRPr="00FC60D0">
        <w:rPr>
          <w:b/>
          <w:bCs/>
        </w:rPr>
        <w:t xml:space="preserve"> </w:t>
      </w:r>
      <w:r w:rsidR="009C3DEA" w:rsidRPr="009C3DEA">
        <w:t>hôpitaux d’un même GHT (ou d’une même région)</w:t>
      </w:r>
      <w:r>
        <w:t xml:space="preserve"> ? </w:t>
      </w:r>
      <w:r w:rsidRPr="00FC60D0">
        <w:rPr>
          <w:b/>
        </w:rPr>
        <w:t>NON</w:t>
      </w:r>
    </w:p>
    <w:p w14:paraId="5A0A3135" w14:textId="77777777" w:rsidR="009C3DEA" w:rsidRPr="00FC60D0" w:rsidRDefault="009C3DEA" w:rsidP="00FC60D0">
      <w:pPr>
        <w:pStyle w:val="Paragraphedeliste"/>
        <w:rPr>
          <w:i/>
        </w:rPr>
      </w:pPr>
      <w:r w:rsidRPr="00FC60D0">
        <w:rPr>
          <w:b/>
          <w:bCs/>
          <w:i/>
        </w:rPr>
        <w:t xml:space="preserve">Solution proposée : </w:t>
      </w:r>
    </w:p>
    <w:p w14:paraId="03F42C30" w14:textId="3D86D11E" w:rsidR="00350A34" w:rsidRDefault="00350A34" w:rsidP="00A1028C">
      <w:pPr>
        <w:pStyle w:val="Paragraphedeliste"/>
        <w:numPr>
          <w:ilvl w:val="1"/>
          <w:numId w:val="25"/>
        </w:numPr>
      </w:pPr>
      <w:r w:rsidRPr="009C3DEA">
        <w:t xml:space="preserve">1 site </w:t>
      </w:r>
      <w:r w:rsidR="00D85F79">
        <w:t xml:space="preserve">pour le CRMR </w:t>
      </w:r>
      <w:r>
        <w:t>X</w:t>
      </w:r>
      <w:r w:rsidRPr="009C3DEA">
        <w:t xml:space="preserve"> dans l’hôpital A</w:t>
      </w:r>
    </w:p>
    <w:p w14:paraId="5C02EC1E" w14:textId="78114AFB" w:rsidR="00350A34" w:rsidRPr="00D167D6" w:rsidRDefault="00350A34" w:rsidP="00A1028C">
      <w:pPr>
        <w:pStyle w:val="Paragraphedeliste"/>
        <w:numPr>
          <w:ilvl w:val="1"/>
          <w:numId w:val="25"/>
        </w:numPr>
      </w:pPr>
      <w:r w:rsidRPr="009C3DEA">
        <w:t xml:space="preserve">1 site </w:t>
      </w:r>
      <w:r w:rsidR="00D85F79">
        <w:t>pour le CRMR</w:t>
      </w:r>
      <w:r w:rsidRPr="009C3DEA">
        <w:t xml:space="preserve"> </w:t>
      </w:r>
      <w:r>
        <w:t>X</w:t>
      </w:r>
      <w:r w:rsidRPr="009C3DEA">
        <w:t xml:space="preserve"> dans l’hôpital B</w:t>
      </w:r>
    </w:p>
    <w:sectPr w:rsidR="00350A34" w:rsidRPr="00D167D6" w:rsidSect="00CF2BC4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1193B" w14:textId="77777777" w:rsidR="008204BA" w:rsidRDefault="008204BA" w:rsidP="00005657">
      <w:pPr>
        <w:spacing w:after="0" w:line="240" w:lineRule="auto"/>
      </w:pPr>
      <w:r>
        <w:separator/>
      </w:r>
    </w:p>
  </w:endnote>
  <w:endnote w:type="continuationSeparator" w:id="0">
    <w:p w14:paraId="6F924FB9" w14:textId="77777777" w:rsidR="008204BA" w:rsidRDefault="008204BA" w:rsidP="00005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7174209"/>
      <w:docPartObj>
        <w:docPartGallery w:val="Page Numbers (Bottom of Page)"/>
        <w:docPartUnique/>
      </w:docPartObj>
    </w:sdtPr>
    <w:sdtEndPr/>
    <w:sdtContent>
      <w:p w14:paraId="28E29D7E" w14:textId="2B3AA6C2" w:rsidR="00BB1CDB" w:rsidRDefault="00BB1CD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6D6">
          <w:rPr>
            <w:noProof/>
          </w:rPr>
          <w:t>1</w:t>
        </w:r>
        <w:r>
          <w:fldChar w:fldCharType="end"/>
        </w:r>
      </w:p>
    </w:sdtContent>
  </w:sdt>
  <w:p w14:paraId="15A71570" w14:textId="77777777" w:rsidR="00005657" w:rsidRDefault="000056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A1D70" w14:textId="77777777" w:rsidR="008204BA" w:rsidRDefault="008204BA" w:rsidP="00005657">
      <w:pPr>
        <w:spacing w:after="0" w:line="240" w:lineRule="auto"/>
      </w:pPr>
      <w:r>
        <w:separator/>
      </w:r>
    </w:p>
  </w:footnote>
  <w:footnote w:type="continuationSeparator" w:id="0">
    <w:p w14:paraId="5033C1A1" w14:textId="77777777" w:rsidR="008204BA" w:rsidRDefault="008204BA" w:rsidP="00005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454A9" w14:textId="4FB1A0BD" w:rsidR="000C199B" w:rsidRDefault="002366AF">
    <w:pPr>
      <w:pStyle w:val="En-tte"/>
    </w:pPr>
    <w:r>
      <w:t xml:space="preserve">Labellisation des </w:t>
    </w:r>
    <w:r w:rsidR="00D85F79">
      <w:t xml:space="preserve">centres de référence </w:t>
    </w:r>
    <w:r>
      <w:t>maladies rares 2022</w:t>
    </w:r>
  </w:p>
  <w:p w14:paraId="64A9EB57" w14:textId="77777777" w:rsidR="00CF2BC4" w:rsidRDefault="00CF2BC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4.25pt;height:17.25pt;visibility:visible;mso-wrap-style:square" o:bullet="t">
        <v:imagedata r:id="rId1" o:title=""/>
      </v:shape>
    </w:pict>
  </w:numPicBullet>
  <w:abstractNum w:abstractNumId="0" w15:restartNumberingAfterBreak="0">
    <w:nsid w:val="01D0370B"/>
    <w:multiLevelType w:val="hybridMultilevel"/>
    <w:tmpl w:val="BBF6613E"/>
    <w:lvl w:ilvl="0" w:tplc="F530FD4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744868">
      <w:start w:val="185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BABDD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A4A1AC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B741D5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72F2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1A0C3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E88A5D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EF8DF1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2977EE0"/>
    <w:multiLevelType w:val="hybridMultilevel"/>
    <w:tmpl w:val="41C20CE8"/>
    <w:lvl w:ilvl="0" w:tplc="6BFE5C5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04B9A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1BA4C3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D50078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B30103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24209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965A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478B05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794327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2C26D22"/>
    <w:multiLevelType w:val="hybridMultilevel"/>
    <w:tmpl w:val="1312F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E7FD5"/>
    <w:multiLevelType w:val="hybridMultilevel"/>
    <w:tmpl w:val="DB585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165B6"/>
    <w:multiLevelType w:val="hybridMultilevel"/>
    <w:tmpl w:val="91749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F6206"/>
    <w:multiLevelType w:val="hybridMultilevel"/>
    <w:tmpl w:val="A582DB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83450"/>
    <w:multiLevelType w:val="hybridMultilevel"/>
    <w:tmpl w:val="D0B676B8"/>
    <w:lvl w:ilvl="0" w:tplc="1A069D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B2D72"/>
    <w:multiLevelType w:val="hybridMultilevel"/>
    <w:tmpl w:val="B9A80BC6"/>
    <w:lvl w:ilvl="0" w:tplc="D5C6A36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A4764"/>
    <w:multiLevelType w:val="hybridMultilevel"/>
    <w:tmpl w:val="EC7037BA"/>
    <w:lvl w:ilvl="0" w:tplc="1A069D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A7C51"/>
    <w:multiLevelType w:val="hybridMultilevel"/>
    <w:tmpl w:val="F9E46254"/>
    <w:lvl w:ilvl="0" w:tplc="A776D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F0E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645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B6F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A8D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9EB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EA8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809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24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7466442"/>
    <w:multiLevelType w:val="hybridMultilevel"/>
    <w:tmpl w:val="15A6F4BC"/>
    <w:lvl w:ilvl="0" w:tplc="1A069D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61E66"/>
    <w:multiLevelType w:val="hybridMultilevel"/>
    <w:tmpl w:val="DCBCAB54"/>
    <w:lvl w:ilvl="0" w:tplc="54E424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F6ADD"/>
    <w:multiLevelType w:val="hybridMultilevel"/>
    <w:tmpl w:val="6E3C78E0"/>
    <w:lvl w:ilvl="0" w:tplc="27DC8E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858FB"/>
    <w:multiLevelType w:val="hybridMultilevel"/>
    <w:tmpl w:val="BF34BA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20F4C"/>
    <w:multiLevelType w:val="hybridMultilevel"/>
    <w:tmpl w:val="6F9C21D6"/>
    <w:lvl w:ilvl="0" w:tplc="FC54BF92">
      <w:start w:val="100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7578F7DA"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51BB5"/>
    <w:multiLevelType w:val="hybridMultilevel"/>
    <w:tmpl w:val="39E45B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C45B1"/>
    <w:multiLevelType w:val="hybridMultilevel"/>
    <w:tmpl w:val="DA32347A"/>
    <w:lvl w:ilvl="0" w:tplc="ADF8AA5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A5EA97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E1CA7A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52A345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B8A928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C6DBC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5BA4BB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2B8C6F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462F0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3F794D1B"/>
    <w:multiLevelType w:val="hybridMultilevel"/>
    <w:tmpl w:val="A814BBE2"/>
    <w:lvl w:ilvl="0" w:tplc="79D4372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9C6510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4C6D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180E2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FE8CB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BAD74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0010D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22730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4E5B5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3FBC5DB5"/>
    <w:multiLevelType w:val="hybridMultilevel"/>
    <w:tmpl w:val="4BE4C0C2"/>
    <w:lvl w:ilvl="0" w:tplc="3DFEB0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65E29"/>
    <w:multiLevelType w:val="hybridMultilevel"/>
    <w:tmpl w:val="7D7A59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F0EFB"/>
    <w:multiLevelType w:val="hybridMultilevel"/>
    <w:tmpl w:val="DF20698A"/>
    <w:lvl w:ilvl="0" w:tplc="5818F48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978403C">
      <w:start w:val="185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7271A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40A080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A18820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984707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95A57D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39C2C0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AC224D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59A14CDF"/>
    <w:multiLevelType w:val="hybridMultilevel"/>
    <w:tmpl w:val="91F87370"/>
    <w:lvl w:ilvl="0" w:tplc="421A4E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72D55"/>
    <w:multiLevelType w:val="hybridMultilevel"/>
    <w:tmpl w:val="96A236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475214"/>
    <w:multiLevelType w:val="hybridMultilevel"/>
    <w:tmpl w:val="4C5E0758"/>
    <w:lvl w:ilvl="0" w:tplc="8FC4D5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A22E6"/>
    <w:multiLevelType w:val="hybridMultilevel"/>
    <w:tmpl w:val="333CCC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1C63A5"/>
    <w:multiLevelType w:val="hybridMultilevel"/>
    <w:tmpl w:val="C6AEA0C2"/>
    <w:lvl w:ilvl="0" w:tplc="1A069D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13FFF"/>
    <w:multiLevelType w:val="hybridMultilevel"/>
    <w:tmpl w:val="BDB07A5C"/>
    <w:lvl w:ilvl="0" w:tplc="7E8C431A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BE6A69DA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2EEEE442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5E569A90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07EEB3E2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5F7EEA80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B4F8FE28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FEF47E0C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EF588FA0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27" w15:restartNumberingAfterBreak="0">
    <w:nsid w:val="6CA8320B"/>
    <w:multiLevelType w:val="hybridMultilevel"/>
    <w:tmpl w:val="8778709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670BD"/>
    <w:multiLevelType w:val="hybridMultilevel"/>
    <w:tmpl w:val="56A8F5A4"/>
    <w:lvl w:ilvl="0" w:tplc="AB6CE0F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1"/>
  </w:num>
  <w:num w:numId="4">
    <w:abstractNumId w:val="8"/>
  </w:num>
  <w:num w:numId="5">
    <w:abstractNumId w:val="10"/>
  </w:num>
  <w:num w:numId="6">
    <w:abstractNumId w:val="25"/>
  </w:num>
  <w:num w:numId="7">
    <w:abstractNumId w:val="3"/>
  </w:num>
  <w:num w:numId="8">
    <w:abstractNumId w:val="14"/>
  </w:num>
  <w:num w:numId="9">
    <w:abstractNumId w:val="22"/>
  </w:num>
  <w:num w:numId="10">
    <w:abstractNumId w:val="27"/>
  </w:num>
  <w:num w:numId="11">
    <w:abstractNumId w:val="6"/>
  </w:num>
  <w:num w:numId="12">
    <w:abstractNumId w:val="12"/>
  </w:num>
  <w:num w:numId="13">
    <w:abstractNumId w:val="28"/>
  </w:num>
  <w:num w:numId="14">
    <w:abstractNumId w:val="7"/>
  </w:num>
  <w:num w:numId="15">
    <w:abstractNumId w:val="0"/>
  </w:num>
  <w:num w:numId="16">
    <w:abstractNumId w:val="17"/>
  </w:num>
  <w:num w:numId="17">
    <w:abstractNumId w:val="9"/>
  </w:num>
  <w:num w:numId="18">
    <w:abstractNumId w:val="26"/>
  </w:num>
  <w:num w:numId="19">
    <w:abstractNumId w:val="2"/>
  </w:num>
  <w:num w:numId="20">
    <w:abstractNumId w:val="1"/>
  </w:num>
  <w:num w:numId="21">
    <w:abstractNumId w:val="16"/>
  </w:num>
  <w:num w:numId="22">
    <w:abstractNumId w:val="20"/>
  </w:num>
  <w:num w:numId="23">
    <w:abstractNumId w:val="15"/>
  </w:num>
  <w:num w:numId="24">
    <w:abstractNumId w:val="24"/>
  </w:num>
  <w:num w:numId="25">
    <w:abstractNumId w:val="4"/>
  </w:num>
  <w:num w:numId="26">
    <w:abstractNumId w:val="19"/>
  </w:num>
  <w:num w:numId="27">
    <w:abstractNumId w:val="5"/>
  </w:num>
  <w:num w:numId="28">
    <w:abstractNumId w:val="13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19"/>
    <w:rsid w:val="00004AB6"/>
    <w:rsid w:val="00005657"/>
    <w:rsid w:val="000523C7"/>
    <w:rsid w:val="00056519"/>
    <w:rsid w:val="00072D04"/>
    <w:rsid w:val="000754D4"/>
    <w:rsid w:val="0007698E"/>
    <w:rsid w:val="00096C27"/>
    <w:rsid w:val="000C199B"/>
    <w:rsid w:val="000C6416"/>
    <w:rsid w:val="000D36AE"/>
    <w:rsid w:val="0011246A"/>
    <w:rsid w:val="00115207"/>
    <w:rsid w:val="00152098"/>
    <w:rsid w:val="001540FB"/>
    <w:rsid w:val="0016041A"/>
    <w:rsid w:val="00191632"/>
    <w:rsid w:val="001A17A3"/>
    <w:rsid w:val="001A17BB"/>
    <w:rsid w:val="001B1F99"/>
    <w:rsid w:val="001B476D"/>
    <w:rsid w:val="001C1843"/>
    <w:rsid w:val="001D3104"/>
    <w:rsid w:val="0022256C"/>
    <w:rsid w:val="00233B82"/>
    <w:rsid w:val="00234C02"/>
    <w:rsid w:val="002366AF"/>
    <w:rsid w:val="002636BA"/>
    <w:rsid w:val="002939B6"/>
    <w:rsid w:val="0029746E"/>
    <w:rsid w:val="002D0308"/>
    <w:rsid w:val="002D6D98"/>
    <w:rsid w:val="002E1214"/>
    <w:rsid w:val="00306E05"/>
    <w:rsid w:val="00331CAD"/>
    <w:rsid w:val="00332033"/>
    <w:rsid w:val="003325FA"/>
    <w:rsid w:val="00335F3B"/>
    <w:rsid w:val="003413B0"/>
    <w:rsid w:val="003420BD"/>
    <w:rsid w:val="00343399"/>
    <w:rsid w:val="00350A34"/>
    <w:rsid w:val="00360ED6"/>
    <w:rsid w:val="00392929"/>
    <w:rsid w:val="003B4FF6"/>
    <w:rsid w:val="003C068B"/>
    <w:rsid w:val="003C60A8"/>
    <w:rsid w:val="003D2C2F"/>
    <w:rsid w:val="003E016A"/>
    <w:rsid w:val="003F21B0"/>
    <w:rsid w:val="004047A9"/>
    <w:rsid w:val="00412750"/>
    <w:rsid w:val="00445BC7"/>
    <w:rsid w:val="00450E72"/>
    <w:rsid w:val="00466206"/>
    <w:rsid w:val="004916B2"/>
    <w:rsid w:val="004A77DD"/>
    <w:rsid w:val="004E4D40"/>
    <w:rsid w:val="004E65E2"/>
    <w:rsid w:val="00505428"/>
    <w:rsid w:val="00510319"/>
    <w:rsid w:val="00532E3A"/>
    <w:rsid w:val="005349F1"/>
    <w:rsid w:val="00565772"/>
    <w:rsid w:val="005663B7"/>
    <w:rsid w:val="005708AF"/>
    <w:rsid w:val="005750B6"/>
    <w:rsid w:val="00585B91"/>
    <w:rsid w:val="005F25BD"/>
    <w:rsid w:val="005F5B60"/>
    <w:rsid w:val="00625707"/>
    <w:rsid w:val="0063171F"/>
    <w:rsid w:val="00646545"/>
    <w:rsid w:val="006477B1"/>
    <w:rsid w:val="00665CAC"/>
    <w:rsid w:val="00665F25"/>
    <w:rsid w:val="00676512"/>
    <w:rsid w:val="0068389D"/>
    <w:rsid w:val="00685524"/>
    <w:rsid w:val="006900F6"/>
    <w:rsid w:val="006B2ABE"/>
    <w:rsid w:val="006B6C6E"/>
    <w:rsid w:val="006D4768"/>
    <w:rsid w:val="006F62CE"/>
    <w:rsid w:val="0073229F"/>
    <w:rsid w:val="00732B06"/>
    <w:rsid w:val="007415FA"/>
    <w:rsid w:val="0075584E"/>
    <w:rsid w:val="00783AE7"/>
    <w:rsid w:val="00790729"/>
    <w:rsid w:val="007A13AB"/>
    <w:rsid w:val="007B5F83"/>
    <w:rsid w:val="007C42C2"/>
    <w:rsid w:val="007D2A2C"/>
    <w:rsid w:val="007F0C29"/>
    <w:rsid w:val="007F7E96"/>
    <w:rsid w:val="0080754F"/>
    <w:rsid w:val="008204BA"/>
    <w:rsid w:val="00821CFB"/>
    <w:rsid w:val="00824B86"/>
    <w:rsid w:val="00827C62"/>
    <w:rsid w:val="00837F58"/>
    <w:rsid w:val="00845E19"/>
    <w:rsid w:val="008512C1"/>
    <w:rsid w:val="00887210"/>
    <w:rsid w:val="008E7F3A"/>
    <w:rsid w:val="008F75BA"/>
    <w:rsid w:val="0090468A"/>
    <w:rsid w:val="00911399"/>
    <w:rsid w:val="0091266A"/>
    <w:rsid w:val="0091275E"/>
    <w:rsid w:val="009148EE"/>
    <w:rsid w:val="009336ED"/>
    <w:rsid w:val="00934D47"/>
    <w:rsid w:val="009608BA"/>
    <w:rsid w:val="009776F0"/>
    <w:rsid w:val="0098337D"/>
    <w:rsid w:val="0098670A"/>
    <w:rsid w:val="009869C1"/>
    <w:rsid w:val="00993684"/>
    <w:rsid w:val="00997372"/>
    <w:rsid w:val="009A6BAC"/>
    <w:rsid w:val="009C3DEA"/>
    <w:rsid w:val="009C470F"/>
    <w:rsid w:val="009C5A3A"/>
    <w:rsid w:val="009E3900"/>
    <w:rsid w:val="009F3EF3"/>
    <w:rsid w:val="00A07AF5"/>
    <w:rsid w:val="00A1028C"/>
    <w:rsid w:val="00A11453"/>
    <w:rsid w:val="00A34739"/>
    <w:rsid w:val="00A41047"/>
    <w:rsid w:val="00A5295E"/>
    <w:rsid w:val="00A735CA"/>
    <w:rsid w:val="00A82AB5"/>
    <w:rsid w:val="00AD6C4F"/>
    <w:rsid w:val="00AE2946"/>
    <w:rsid w:val="00AE4B14"/>
    <w:rsid w:val="00AE515F"/>
    <w:rsid w:val="00AE667B"/>
    <w:rsid w:val="00AF3CF3"/>
    <w:rsid w:val="00B06903"/>
    <w:rsid w:val="00B220C6"/>
    <w:rsid w:val="00B266EB"/>
    <w:rsid w:val="00B40B83"/>
    <w:rsid w:val="00B42E78"/>
    <w:rsid w:val="00B7635E"/>
    <w:rsid w:val="00B816A5"/>
    <w:rsid w:val="00B950E0"/>
    <w:rsid w:val="00BA721C"/>
    <w:rsid w:val="00BB1CDB"/>
    <w:rsid w:val="00BD6EBB"/>
    <w:rsid w:val="00C01D61"/>
    <w:rsid w:val="00C22FD9"/>
    <w:rsid w:val="00C439D6"/>
    <w:rsid w:val="00C53A44"/>
    <w:rsid w:val="00C644AA"/>
    <w:rsid w:val="00C72C66"/>
    <w:rsid w:val="00CB633D"/>
    <w:rsid w:val="00CC00BD"/>
    <w:rsid w:val="00CC09D3"/>
    <w:rsid w:val="00CD6F6E"/>
    <w:rsid w:val="00CE2980"/>
    <w:rsid w:val="00CE5AE1"/>
    <w:rsid w:val="00CE62BC"/>
    <w:rsid w:val="00CE72F5"/>
    <w:rsid w:val="00CF2BC4"/>
    <w:rsid w:val="00CF7CE0"/>
    <w:rsid w:val="00D143B6"/>
    <w:rsid w:val="00D167D6"/>
    <w:rsid w:val="00D234B3"/>
    <w:rsid w:val="00D3056A"/>
    <w:rsid w:val="00D31942"/>
    <w:rsid w:val="00D327C4"/>
    <w:rsid w:val="00D445B8"/>
    <w:rsid w:val="00D77BCC"/>
    <w:rsid w:val="00D837EF"/>
    <w:rsid w:val="00D85F79"/>
    <w:rsid w:val="00D91817"/>
    <w:rsid w:val="00DB5854"/>
    <w:rsid w:val="00DB7D13"/>
    <w:rsid w:val="00DD6582"/>
    <w:rsid w:val="00E056AC"/>
    <w:rsid w:val="00E30056"/>
    <w:rsid w:val="00E42337"/>
    <w:rsid w:val="00E42573"/>
    <w:rsid w:val="00E54F80"/>
    <w:rsid w:val="00E74E6C"/>
    <w:rsid w:val="00E77D68"/>
    <w:rsid w:val="00E80905"/>
    <w:rsid w:val="00E97B41"/>
    <w:rsid w:val="00EA2187"/>
    <w:rsid w:val="00EA36CE"/>
    <w:rsid w:val="00EC4C75"/>
    <w:rsid w:val="00ED2471"/>
    <w:rsid w:val="00ED3CB0"/>
    <w:rsid w:val="00EE55B1"/>
    <w:rsid w:val="00F1552A"/>
    <w:rsid w:val="00F539C8"/>
    <w:rsid w:val="00F5689E"/>
    <w:rsid w:val="00F82B31"/>
    <w:rsid w:val="00FA0B9E"/>
    <w:rsid w:val="00FB11DF"/>
    <w:rsid w:val="00FB5FFE"/>
    <w:rsid w:val="00FB79E0"/>
    <w:rsid w:val="00FC26F5"/>
    <w:rsid w:val="00FC60D0"/>
    <w:rsid w:val="00FE2ED3"/>
    <w:rsid w:val="00FE3CBB"/>
    <w:rsid w:val="00FF26D6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CC8A0"/>
  <w15:chartTrackingRefBased/>
  <w15:docId w15:val="{BC15FA3F-11C0-4D01-B089-9F36A151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45B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F9409" w:themeColor="accent1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C47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F9409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1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1942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E62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62B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E62B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62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62BC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608BA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0056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5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005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5657"/>
  </w:style>
  <w:style w:type="paragraph" w:styleId="Pieddepage">
    <w:name w:val="footer"/>
    <w:basedOn w:val="Normal"/>
    <w:link w:val="PieddepageCar"/>
    <w:uiPriority w:val="99"/>
    <w:unhideWhenUsed/>
    <w:rsid w:val="00005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5657"/>
  </w:style>
  <w:style w:type="paragraph" w:styleId="Paragraphedeliste">
    <w:name w:val="List Paragraph"/>
    <w:basedOn w:val="Normal"/>
    <w:uiPriority w:val="34"/>
    <w:qFormat/>
    <w:rsid w:val="007F0C2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1552A"/>
    <w:rPr>
      <w:color w:val="ED6B6A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45BC7"/>
    <w:rPr>
      <w:rFonts w:asciiTheme="majorHAnsi" w:eastAsiaTheme="majorEastAsia" w:hAnsiTheme="majorHAnsi" w:cstheme="majorBidi"/>
      <w:color w:val="CF9409" w:themeColor="accent1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9C470F"/>
    <w:rPr>
      <w:rFonts w:asciiTheme="majorHAnsi" w:eastAsiaTheme="majorEastAsia" w:hAnsiTheme="majorHAnsi" w:cstheme="majorBidi"/>
      <w:i/>
      <w:iCs/>
      <w:color w:val="CF9409" w:themeColor="accent1" w:themeShade="BF"/>
    </w:rPr>
  </w:style>
  <w:style w:type="table" w:styleId="Grilledutableau">
    <w:name w:val="Table Grid"/>
    <w:basedOn w:val="TableauNormal"/>
    <w:uiPriority w:val="39"/>
    <w:rsid w:val="00993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F25B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F25B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F25BD"/>
    <w:rPr>
      <w:vertAlign w:val="superscript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3056A"/>
    <w:pPr>
      <w:pBdr>
        <w:top w:val="single" w:sz="4" w:space="10" w:color="F6BA2B" w:themeColor="accent1"/>
        <w:bottom w:val="single" w:sz="4" w:space="10" w:color="F6BA2B" w:themeColor="accent1"/>
      </w:pBdr>
      <w:spacing w:before="360" w:after="360"/>
      <w:ind w:left="864" w:right="864"/>
      <w:jc w:val="center"/>
    </w:pPr>
    <w:rPr>
      <w:i/>
      <w:iCs/>
      <w:color w:val="F6BA2B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3056A"/>
    <w:rPr>
      <w:i/>
      <w:iCs/>
      <w:color w:val="F6BA2B" w:themeColor="accent1"/>
    </w:rPr>
  </w:style>
  <w:style w:type="paragraph" w:styleId="Citation">
    <w:name w:val="Quote"/>
    <w:basedOn w:val="Normal"/>
    <w:next w:val="Normal"/>
    <w:link w:val="CitationCar"/>
    <w:uiPriority w:val="29"/>
    <w:qFormat/>
    <w:rsid w:val="00D3056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3056A"/>
    <w:rPr>
      <w:i/>
      <w:iCs/>
      <w:color w:val="404040" w:themeColor="text1" w:themeTint="BF"/>
    </w:rPr>
  </w:style>
  <w:style w:type="character" w:styleId="Rfrenceple">
    <w:name w:val="Subtle Reference"/>
    <w:basedOn w:val="Policepardfaut"/>
    <w:uiPriority w:val="31"/>
    <w:qFormat/>
    <w:rsid w:val="00D3056A"/>
    <w:rPr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D3056A"/>
    <w:rPr>
      <w:b/>
      <w:bCs/>
      <w:smallCaps/>
      <w:color w:val="F6BA2B" w:themeColor="accent1"/>
      <w:spacing w:val="5"/>
    </w:rPr>
  </w:style>
  <w:style w:type="paragraph" w:styleId="Sansinterligne">
    <w:name w:val="No Spacing"/>
    <w:uiPriority w:val="1"/>
    <w:qFormat/>
    <w:rsid w:val="00D305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86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6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1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50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922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85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329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1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178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6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2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80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29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3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93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36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670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35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0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7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38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60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61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73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75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95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36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285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5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48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NDMR">
      <a:dk1>
        <a:sysClr val="windowText" lastClr="000000"/>
      </a:dk1>
      <a:lt1>
        <a:sysClr val="window" lastClr="FFFFFF"/>
      </a:lt1>
      <a:dk2>
        <a:srgbClr val="5D5A5F"/>
      </a:dk2>
      <a:lt2>
        <a:srgbClr val="36BDE8"/>
      </a:lt2>
      <a:accent1>
        <a:srgbClr val="F6BA2B"/>
      </a:accent1>
      <a:accent2>
        <a:srgbClr val="40BBB4"/>
      </a:accent2>
      <a:accent3>
        <a:srgbClr val="ED6B6A"/>
      </a:accent3>
      <a:accent4>
        <a:srgbClr val="9D5E8E"/>
      </a:accent4>
      <a:accent5>
        <a:srgbClr val="A8A5A8"/>
      </a:accent5>
      <a:accent6>
        <a:srgbClr val="0062AE"/>
      </a:accent6>
      <a:hlink>
        <a:srgbClr val="ED6B6A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28AE2-A43C-4C25-A924-E17CF526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1183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 Arnaud</dc:creator>
  <cp:keywords/>
  <dc:description/>
  <cp:lastModifiedBy>anne-sophie.lapointe</cp:lastModifiedBy>
  <cp:revision>2</cp:revision>
  <dcterms:created xsi:type="dcterms:W3CDTF">2022-03-31T09:43:00Z</dcterms:created>
  <dcterms:modified xsi:type="dcterms:W3CDTF">2022-03-31T09:43:00Z</dcterms:modified>
</cp:coreProperties>
</file>